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1E" w:rsidRPr="00E65A72" w:rsidRDefault="00F3721E" w:rsidP="00F3721E">
      <w:pPr>
        <w:tabs>
          <w:tab w:val="left" w:pos="1515"/>
        </w:tabs>
        <w:spacing w:line="276" w:lineRule="auto"/>
        <w:jc w:val="center"/>
        <w:rPr>
          <w:b/>
          <w:bCs/>
        </w:rPr>
      </w:pPr>
      <w:r w:rsidRPr="00E65A72">
        <w:rPr>
          <w:b/>
          <w:bCs/>
        </w:rPr>
        <w:t>Росреестр: На Публичной кадастровой карте отображено 15,9 тыс. га земель для строительства жилья</w:t>
      </w:r>
    </w:p>
    <w:p w:rsidR="00F3721E" w:rsidRPr="00E65A72" w:rsidRDefault="00F3721E" w:rsidP="00F3721E">
      <w:pPr>
        <w:tabs>
          <w:tab w:val="left" w:pos="1515"/>
        </w:tabs>
        <w:spacing w:line="276" w:lineRule="auto"/>
        <w:jc w:val="center"/>
        <w:rPr>
          <w:b/>
          <w:bCs/>
        </w:rPr>
      </w:pPr>
    </w:p>
    <w:p w:rsidR="00F3721E" w:rsidRPr="00E65A72" w:rsidRDefault="00F3721E" w:rsidP="00F3721E">
      <w:pPr>
        <w:tabs>
          <w:tab w:val="left" w:pos="-426"/>
        </w:tabs>
        <w:spacing w:line="276" w:lineRule="auto"/>
        <w:jc w:val="both"/>
        <w:rPr>
          <w:bCs/>
        </w:rPr>
      </w:pPr>
      <w:r>
        <w:rPr>
          <w:bCs/>
        </w:rPr>
        <w:tab/>
      </w:r>
      <w:r w:rsidRPr="00E65A72">
        <w:rPr>
          <w:bCs/>
        </w:rPr>
        <w:t>В рамках работы сервиса «Земля для стройки» Росреестр заключил соглашения с 43 субъектами РФ для размещения на Публичной кадастровой карте (ПКК) сведений об участках, пригодных для жилищного строительства, в том числе с Правительством Чеченской Республики.</w:t>
      </w:r>
    </w:p>
    <w:p w:rsidR="00F3721E" w:rsidRPr="00E65A72" w:rsidRDefault="00F3721E" w:rsidP="00F3721E">
      <w:pPr>
        <w:spacing w:line="276" w:lineRule="auto"/>
        <w:jc w:val="both"/>
        <w:rPr>
          <w:bCs/>
        </w:rPr>
      </w:pPr>
      <w:r>
        <w:rPr>
          <w:bCs/>
        </w:rPr>
        <w:tab/>
      </w:r>
      <w:r w:rsidRPr="00E65A72">
        <w:rPr>
          <w:bCs/>
        </w:rPr>
        <w:t>Тестирование технологии началось в феврале 2021 года на территории четырех регионов – Пермский край, Самарская и Псковская области, Республика Татарстан. В настоящее время количество субъектов, подключенных к сервису «Земля для стройки», увеличилось более чем в 10 раз.</w:t>
      </w:r>
    </w:p>
    <w:p w:rsidR="00F3721E" w:rsidRPr="00E65A72" w:rsidRDefault="00F3721E" w:rsidP="00F3721E">
      <w:pPr>
        <w:spacing w:line="276" w:lineRule="auto"/>
        <w:jc w:val="both"/>
        <w:rPr>
          <w:bCs/>
        </w:rPr>
      </w:pPr>
      <w:r>
        <w:rPr>
          <w:bCs/>
        </w:rPr>
        <w:tab/>
      </w:r>
      <w:r w:rsidRPr="00E65A72">
        <w:rPr>
          <w:bCs/>
        </w:rPr>
        <w:t>По состоянию на 1 мая 2021 года, на ПКК размещены сведения о 339 земельных участках площадью 15871,5 га, пригодных для жилищного строительства (167 участков – под индивидуальное жилищное строительство и 172 – под строительство многоквартирных домов). Из них заявки поступили по 60 участкам.</w:t>
      </w:r>
    </w:p>
    <w:p w:rsidR="00F3721E" w:rsidRPr="00E65A72" w:rsidRDefault="00F3721E" w:rsidP="00F3721E">
      <w:pPr>
        <w:tabs>
          <w:tab w:val="left" w:pos="-284"/>
        </w:tabs>
        <w:spacing w:line="276" w:lineRule="auto"/>
        <w:jc w:val="both"/>
        <w:rPr>
          <w:bCs/>
        </w:rPr>
      </w:pPr>
      <w:r>
        <w:rPr>
          <w:bCs/>
        </w:rPr>
        <w:tab/>
      </w:r>
      <w:r w:rsidRPr="00E65A72">
        <w:rPr>
          <w:bCs/>
        </w:rPr>
        <w:t>«</w:t>
      </w:r>
      <w:r w:rsidRPr="00E65A72">
        <w:rPr>
          <w:bCs/>
          <w:i/>
        </w:rPr>
        <w:t xml:space="preserve">Благодаря инструменту потенциальные инвесторы в режиме </w:t>
      </w:r>
      <w:proofErr w:type="spellStart"/>
      <w:r w:rsidRPr="00E65A72">
        <w:rPr>
          <w:bCs/>
          <w:i/>
        </w:rPr>
        <w:t>онлайн</w:t>
      </w:r>
      <w:proofErr w:type="spellEnd"/>
      <w:r w:rsidRPr="00E65A72">
        <w:rPr>
          <w:bCs/>
          <w:i/>
        </w:rPr>
        <w:t xml:space="preserve"> могут оценить и выбрать на ПКК подходящие для строительства жилья земли. Необходимый функционал позволяет обеспечить связь между органами исполнительной власти, органами местного самоуправления и заинтересованными лицами. Таким образом, процедура поиска и реализации земель максимально упрощена для всех участников</w:t>
      </w:r>
      <w:r w:rsidRPr="00E65A72">
        <w:rPr>
          <w:bCs/>
        </w:rPr>
        <w:t xml:space="preserve">», - сообщил заместитель руководителя Росреестра </w:t>
      </w:r>
      <w:r w:rsidRPr="00E65A72">
        <w:rPr>
          <w:b/>
          <w:bCs/>
        </w:rPr>
        <w:t xml:space="preserve">Алексей </w:t>
      </w:r>
      <w:proofErr w:type="spellStart"/>
      <w:r w:rsidRPr="00E65A72">
        <w:rPr>
          <w:b/>
          <w:bCs/>
        </w:rPr>
        <w:t>Штейников</w:t>
      </w:r>
      <w:proofErr w:type="spellEnd"/>
      <w:r w:rsidRPr="00E65A72">
        <w:rPr>
          <w:bCs/>
        </w:rPr>
        <w:t>.</w:t>
      </w:r>
    </w:p>
    <w:p w:rsidR="00F3721E" w:rsidRPr="00E65A72" w:rsidRDefault="00F3721E" w:rsidP="00F3721E">
      <w:pPr>
        <w:tabs>
          <w:tab w:val="left" w:pos="1515"/>
        </w:tabs>
        <w:spacing w:line="276" w:lineRule="auto"/>
        <w:jc w:val="both"/>
        <w:rPr>
          <w:bCs/>
        </w:rPr>
      </w:pPr>
    </w:p>
    <w:p w:rsidR="00F3721E" w:rsidRPr="00E65A72" w:rsidRDefault="00F3721E" w:rsidP="00F3721E">
      <w:pPr>
        <w:spacing w:line="276" w:lineRule="auto"/>
        <w:jc w:val="both"/>
        <w:rPr>
          <w:b/>
          <w:bCs/>
        </w:rPr>
      </w:pPr>
      <w:r>
        <w:rPr>
          <w:b/>
          <w:bCs/>
        </w:rPr>
        <w:tab/>
      </w:r>
      <w:r w:rsidRPr="00E65A72">
        <w:rPr>
          <w:b/>
          <w:bCs/>
        </w:rPr>
        <w:t>Каким образом функционирует сервис «Земля для стройки»</w:t>
      </w:r>
    </w:p>
    <w:p w:rsidR="00F3721E" w:rsidRPr="00E65A72" w:rsidRDefault="00F3721E" w:rsidP="00F3721E">
      <w:pPr>
        <w:tabs>
          <w:tab w:val="left" w:pos="1515"/>
        </w:tabs>
        <w:spacing w:line="276" w:lineRule="auto"/>
        <w:jc w:val="both"/>
        <w:rPr>
          <w:bCs/>
        </w:rPr>
      </w:pPr>
    </w:p>
    <w:p w:rsidR="00F3721E" w:rsidRPr="00E65A72" w:rsidRDefault="00F3721E" w:rsidP="00F3721E">
      <w:pPr>
        <w:spacing w:line="276" w:lineRule="auto"/>
        <w:jc w:val="both"/>
        <w:rPr>
          <w:bCs/>
        </w:rPr>
      </w:pPr>
      <w:r>
        <w:rPr>
          <w:bCs/>
        </w:rPr>
        <w:tab/>
      </w:r>
      <w:r w:rsidRPr="00E65A72">
        <w:rPr>
          <w:bCs/>
        </w:rPr>
        <w:t>В рамках соглашения, которое Росреестр заключает с исполнительными органами власти субъектов Российской Федерации, уполномоченные органы того или иного региона направляют в Федеральную кадастровую палату (ФКП) Росреестра сведения об участках, пригодных для вовлечения в жилищное строительство. ФКП как оператор ПКК размещает на ней эти данные.</w:t>
      </w:r>
    </w:p>
    <w:p w:rsidR="00F3721E" w:rsidRPr="00E65A72" w:rsidRDefault="00F3721E" w:rsidP="00F3721E">
      <w:pPr>
        <w:spacing w:line="276" w:lineRule="auto"/>
        <w:jc w:val="both"/>
        <w:rPr>
          <w:bCs/>
        </w:rPr>
      </w:pPr>
      <w:r>
        <w:rPr>
          <w:bCs/>
        </w:rPr>
        <w:tab/>
      </w:r>
      <w:r w:rsidRPr="00E65A72">
        <w:rPr>
          <w:bCs/>
        </w:rPr>
        <w:t xml:space="preserve">Далее лицо, которое заинтересовалось в приобретении конкретного участка, направляет по средствам сервиса «Земля для стройки» информацию о себе в ответственный уполномоченный орган. Тот, в свою очередь, определяет статус собственности участка (федеральная, региональная, муниципальная, </w:t>
      </w:r>
      <w:proofErr w:type="spellStart"/>
      <w:r w:rsidRPr="00E65A72">
        <w:rPr>
          <w:bCs/>
        </w:rPr>
        <w:t>неразграниченная</w:t>
      </w:r>
      <w:proofErr w:type="spellEnd"/>
      <w:r w:rsidRPr="00E65A72">
        <w:rPr>
          <w:bCs/>
        </w:rPr>
        <w:t xml:space="preserve"> собственность) и в зависимости от этого далее распределяет заявку.</w:t>
      </w:r>
    </w:p>
    <w:p w:rsidR="00F3721E" w:rsidRPr="00E65A72" w:rsidRDefault="00F3721E" w:rsidP="00F3721E">
      <w:pPr>
        <w:tabs>
          <w:tab w:val="left" w:pos="-284"/>
        </w:tabs>
        <w:spacing w:line="276" w:lineRule="auto"/>
        <w:jc w:val="both"/>
        <w:rPr>
          <w:bCs/>
        </w:rPr>
      </w:pPr>
      <w:r>
        <w:rPr>
          <w:bCs/>
        </w:rPr>
        <w:tab/>
      </w:r>
      <w:bookmarkStart w:id="0" w:name="_GoBack"/>
      <w:bookmarkEnd w:id="0"/>
      <w:r w:rsidRPr="00E65A72">
        <w:rPr>
          <w:bCs/>
        </w:rPr>
        <w:t xml:space="preserve">После проходит электронный аукцион, по итогам которого победитель оформляет право пользования на конкретный участок. В завершение уполномоченный орган направляет в ФКП обновленные сведения, чтобы </w:t>
      </w:r>
      <w:r w:rsidRPr="00E65A72">
        <w:rPr>
          <w:bCs/>
        </w:rPr>
        <w:lastRenderedPageBreak/>
        <w:t>уточнить на ПКК информацию об участках, которые возможно вовлечь в жилищное строительство.</w:t>
      </w:r>
    </w:p>
    <w:p w:rsidR="00F3721E" w:rsidRPr="00E65A72" w:rsidRDefault="00F3721E" w:rsidP="00F3721E">
      <w:pPr>
        <w:tabs>
          <w:tab w:val="left" w:pos="1515"/>
        </w:tabs>
        <w:spacing w:line="276" w:lineRule="auto"/>
        <w:jc w:val="both"/>
        <w:rPr>
          <w:bCs/>
        </w:rPr>
      </w:pPr>
    </w:p>
    <w:p w:rsidR="00F3721E" w:rsidRPr="00E65A72" w:rsidRDefault="00F3721E" w:rsidP="00F3721E">
      <w:pPr>
        <w:tabs>
          <w:tab w:val="left" w:pos="1515"/>
        </w:tabs>
        <w:spacing w:line="276" w:lineRule="auto"/>
        <w:jc w:val="both"/>
        <w:rPr>
          <w:b/>
          <w:bCs/>
        </w:rPr>
      </w:pPr>
      <w:proofErr w:type="spellStart"/>
      <w:r w:rsidRPr="00E65A72">
        <w:rPr>
          <w:b/>
          <w:bCs/>
        </w:rPr>
        <w:t>Справочно</w:t>
      </w:r>
      <w:proofErr w:type="spellEnd"/>
      <w:r w:rsidRPr="00E65A72">
        <w:rPr>
          <w:b/>
          <w:bCs/>
        </w:rPr>
        <w:t>:</w:t>
      </w:r>
    </w:p>
    <w:p w:rsidR="00F3721E" w:rsidRPr="00E65A72" w:rsidRDefault="00F3721E" w:rsidP="00F3721E">
      <w:pPr>
        <w:tabs>
          <w:tab w:val="left" w:pos="1515"/>
        </w:tabs>
        <w:spacing w:line="276" w:lineRule="auto"/>
        <w:jc w:val="both"/>
        <w:rPr>
          <w:bCs/>
        </w:rPr>
      </w:pPr>
    </w:p>
    <w:p w:rsidR="00F3721E" w:rsidRPr="00E65A72" w:rsidRDefault="00F3721E" w:rsidP="00F3721E">
      <w:pPr>
        <w:tabs>
          <w:tab w:val="left" w:pos="1515"/>
        </w:tabs>
        <w:spacing w:line="276" w:lineRule="auto"/>
        <w:jc w:val="both"/>
        <w:rPr>
          <w:bCs/>
          <w:i/>
        </w:rPr>
      </w:pPr>
      <w:r w:rsidRPr="00E65A72">
        <w:rPr>
          <w:bCs/>
          <w:i/>
        </w:rPr>
        <w:t xml:space="preserve">В 2020 году по поручениям Президента РФ В.В. Путина и Председателя Правительства РФ М.В. </w:t>
      </w:r>
      <w:proofErr w:type="spellStart"/>
      <w:r w:rsidRPr="00E65A72">
        <w:rPr>
          <w:bCs/>
          <w:i/>
        </w:rPr>
        <w:t>Мишустина</w:t>
      </w:r>
      <w:proofErr w:type="spellEnd"/>
      <w:r w:rsidRPr="00E65A72">
        <w:rPr>
          <w:bCs/>
          <w:i/>
        </w:rPr>
        <w:t xml:space="preserve"> Росреестр провёл анализ эффективности использования земельных участков для определения возможности их вовлечения в жилищное строительство. В результате была установлена возможность потенциального вовлечения в оборот под жилищное строительство 5 701 земельных участков и территорий </w:t>
      </w:r>
      <w:r w:rsidRPr="00E65A72">
        <w:rPr>
          <w:bCs/>
          <w:i/>
        </w:rPr>
        <w:br/>
        <w:t xml:space="preserve">общей площадью около 100 тыс. га, что в два раза превышает целевой показатель национального проекта «Жилье и городская среда». Из них более 3 139 земельных участков площадью 41 тыс. га подходят для строительства многоквартирных домов и 2 562 участка площадью 58 тыс. га – для индивидуального жилищного строительства. </w:t>
      </w:r>
    </w:p>
    <w:p w:rsidR="00F3721E" w:rsidRDefault="00F3721E" w:rsidP="00F3721E">
      <w:pPr>
        <w:tabs>
          <w:tab w:val="left" w:pos="1515"/>
        </w:tabs>
        <w:spacing w:line="276" w:lineRule="auto"/>
        <w:jc w:val="both"/>
        <w:rPr>
          <w:szCs w:val="28"/>
        </w:rPr>
      </w:pPr>
    </w:p>
    <w:p w:rsidR="00F3721E" w:rsidRDefault="00F3721E" w:rsidP="00F3721E">
      <w:pPr>
        <w:tabs>
          <w:tab w:val="left" w:pos="1515"/>
        </w:tabs>
        <w:spacing w:line="276" w:lineRule="auto"/>
        <w:jc w:val="both"/>
        <w:rPr>
          <w:szCs w:val="28"/>
        </w:rPr>
      </w:pPr>
    </w:p>
    <w:p w:rsidR="00F3721E" w:rsidRPr="00431510" w:rsidRDefault="00F3721E" w:rsidP="00F3721E">
      <w:pPr>
        <w:tabs>
          <w:tab w:val="left" w:pos="1515"/>
        </w:tabs>
        <w:spacing w:line="276" w:lineRule="auto"/>
        <w:jc w:val="both"/>
        <w:rPr>
          <w:szCs w:val="28"/>
        </w:rPr>
      </w:pPr>
    </w:p>
    <w:p w:rsidR="00F3721E" w:rsidRPr="00490107" w:rsidRDefault="00F3721E" w:rsidP="00F3721E">
      <w:pPr>
        <w:tabs>
          <w:tab w:val="left" w:pos="1515"/>
        </w:tabs>
        <w:spacing w:line="276" w:lineRule="auto"/>
        <w:jc w:val="right"/>
        <w:rPr>
          <w:sz w:val="16"/>
          <w:szCs w:val="18"/>
        </w:rPr>
      </w:pPr>
      <w:r>
        <w:rPr>
          <w:szCs w:val="28"/>
        </w:rPr>
        <w:t xml:space="preserve"> </w:t>
      </w:r>
    </w:p>
    <w:p w:rsidR="00F3721E" w:rsidRPr="00F3721E" w:rsidRDefault="00F3721E" w:rsidP="00F3721E">
      <w:pPr>
        <w:tabs>
          <w:tab w:val="left" w:pos="1515"/>
        </w:tabs>
        <w:spacing w:line="276" w:lineRule="auto"/>
        <w:jc w:val="center"/>
        <w:rPr>
          <w:b/>
          <w:bCs/>
        </w:rPr>
      </w:pPr>
      <w:r w:rsidRPr="00F3721E">
        <w:rPr>
          <w:b/>
          <w:bCs/>
        </w:rPr>
        <w:t>РОСРЕЕСТРОМ ОБНОВЛЕН ПОРЯДОК ПРЕДОСТАВЛЕНИЯ СВЕДЕНИЙ, СОДЕРЖАЩИХСЯ В ЕГРН</w:t>
      </w:r>
    </w:p>
    <w:p w:rsidR="00F3721E" w:rsidRPr="00C45651" w:rsidRDefault="00F3721E" w:rsidP="00F3721E">
      <w:pPr>
        <w:tabs>
          <w:tab w:val="left" w:pos="1515"/>
        </w:tabs>
        <w:spacing w:line="276" w:lineRule="auto"/>
        <w:jc w:val="center"/>
        <w:rPr>
          <w:b/>
          <w:bCs/>
        </w:rPr>
      </w:pPr>
    </w:p>
    <w:p w:rsidR="00F3721E" w:rsidRPr="00C45651" w:rsidRDefault="00F3721E" w:rsidP="00F3721E">
      <w:pPr>
        <w:tabs>
          <w:tab w:val="left" w:pos="-426"/>
        </w:tabs>
        <w:spacing w:line="276" w:lineRule="auto"/>
        <w:jc w:val="both"/>
        <w:rPr>
          <w:bCs/>
        </w:rPr>
      </w:pPr>
      <w:r>
        <w:rPr>
          <w:bCs/>
        </w:rPr>
        <w:tab/>
      </w:r>
      <w:r w:rsidRPr="00C45651">
        <w:rPr>
          <w:bCs/>
        </w:rPr>
        <w:t xml:space="preserve">Приказом Росреестра от 08.04.2021 № </w:t>
      </w:r>
      <w:proofErr w:type="gramStart"/>
      <w:r w:rsidRPr="00C45651">
        <w:rPr>
          <w:bCs/>
        </w:rPr>
        <w:t>П</w:t>
      </w:r>
      <w:proofErr w:type="gramEnd"/>
      <w:r w:rsidRPr="00C45651">
        <w:rPr>
          <w:bCs/>
        </w:rPr>
        <w:t>/0149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 обновлен порядок предоставления сведений, содержащихся в ЕГРН, и уведомления заявителей о ходе оказания услуги по предоставлению сведений.</w:t>
      </w:r>
    </w:p>
    <w:p w:rsidR="00F3721E" w:rsidRPr="00C45651" w:rsidRDefault="00F3721E" w:rsidP="00F3721E">
      <w:pPr>
        <w:spacing w:line="276" w:lineRule="auto"/>
        <w:jc w:val="both"/>
        <w:rPr>
          <w:bCs/>
        </w:rPr>
      </w:pPr>
      <w:r>
        <w:rPr>
          <w:bCs/>
        </w:rPr>
        <w:tab/>
      </w:r>
      <w:r w:rsidRPr="00C45651">
        <w:rPr>
          <w:bCs/>
        </w:rPr>
        <w:t>В частности, порядок предоставления сведений, содержащихся в Едином государственном реестре недвижимости, в том числе определяет формы запросов о предоставлении сведений, порядок и способы направления запросов о предоставлении сведений, формы предоставления сведений, состав и порядок заполнения таких запросов.</w:t>
      </w:r>
    </w:p>
    <w:p w:rsidR="00F3721E" w:rsidRPr="00C45651" w:rsidRDefault="00F3721E" w:rsidP="00F3721E">
      <w:pPr>
        <w:spacing w:line="276" w:lineRule="auto"/>
        <w:jc w:val="both"/>
        <w:rPr>
          <w:bCs/>
        </w:rPr>
      </w:pPr>
      <w:r>
        <w:rPr>
          <w:bCs/>
        </w:rPr>
        <w:tab/>
      </w:r>
      <w:r w:rsidRPr="00C45651">
        <w:rPr>
          <w:bCs/>
        </w:rPr>
        <w:t xml:space="preserve">Сведения, содержащиеся в ЕГРН, посредством обеспечения доступа к ФГИС ЕГРН предоставляются заявителям, получившим уникальные коды (далее - ключи доступа). Предоставление ключей доступа осуществляется в электронной форме посредством личного кабинета, размещенного на официальных сайтах Росреестра и ФГБУ "Федеральная кадастровая палата Федеральной службы государственной регистрации, кадастра и картографии" и обеспечивающего хранение ранее направленных в орган регистрации прав </w:t>
      </w:r>
      <w:r w:rsidRPr="00C45651">
        <w:rPr>
          <w:bCs/>
        </w:rPr>
        <w:lastRenderedPageBreak/>
        <w:t xml:space="preserve">обращений, заявителям, зарегистрированным в ФГИС ЕСИА. Предоставление сведений, содержащихся в ЕГРН, посредством обеспечения доступа к ФГИС ЕГРН осуществляется в электронной форме через личный кабинет или с использованием </w:t>
      </w:r>
      <w:proofErr w:type="spellStart"/>
      <w:r w:rsidRPr="00C45651">
        <w:rPr>
          <w:bCs/>
        </w:rPr>
        <w:t>веб-сервисов</w:t>
      </w:r>
      <w:proofErr w:type="spellEnd"/>
      <w:r w:rsidRPr="00C45651">
        <w:rPr>
          <w:bCs/>
        </w:rPr>
        <w:t>.</w:t>
      </w:r>
    </w:p>
    <w:p w:rsidR="00F3721E" w:rsidRPr="00C45651" w:rsidRDefault="00F3721E" w:rsidP="00F3721E">
      <w:pPr>
        <w:tabs>
          <w:tab w:val="left" w:pos="-142"/>
        </w:tabs>
        <w:spacing w:line="276" w:lineRule="auto"/>
        <w:jc w:val="both"/>
        <w:rPr>
          <w:bCs/>
        </w:rPr>
      </w:pPr>
      <w:r>
        <w:rPr>
          <w:bCs/>
        </w:rPr>
        <w:tab/>
      </w:r>
      <w:r w:rsidRPr="00C45651">
        <w:rPr>
          <w:bCs/>
        </w:rPr>
        <w:t>Приказ вступает в силу с момента признания утратившим силу аналогичного Приказа Минэкономразвития России от 23.12.2015 № 968.</w:t>
      </w:r>
    </w:p>
    <w:p w:rsidR="00F3721E" w:rsidRDefault="00F3721E" w:rsidP="00F3721E">
      <w:pPr>
        <w:tabs>
          <w:tab w:val="left" w:pos="1515"/>
        </w:tabs>
        <w:spacing w:line="276" w:lineRule="auto"/>
        <w:jc w:val="both"/>
        <w:rPr>
          <w:szCs w:val="28"/>
        </w:rPr>
      </w:pPr>
    </w:p>
    <w:p w:rsidR="00042520" w:rsidRDefault="00F3721E">
      <w:r>
        <w:t xml:space="preserve">      </w:t>
      </w:r>
    </w:p>
    <w:p w:rsidR="00F3721E" w:rsidRDefault="00F3721E"/>
    <w:p w:rsidR="00F3721E" w:rsidRPr="00F3721E" w:rsidRDefault="00F3721E" w:rsidP="00F3721E">
      <w:pPr>
        <w:tabs>
          <w:tab w:val="left" w:pos="1515"/>
        </w:tabs>
        <w:spacing w:line="276" w:lineRule="auto"/>
        <w:jc w:val="center"/>
        <w:rPr>
          <w:b/>
          <w:bCs/>
        </w:rPr>
      </w:pPr>
      <w:r w:rsidRPr="00F3721E">
        <w:rPr>
          <w:b/>
          <w:bCs/>
        </w:rPr>
        <w:t>РОСРЕЕСТР: ГОСУДАРСТВЕННАЯ ПОШЛИНА ЗА ГОСУДАРСТВЕННУЮ РЕГИСТРАЦИЮ ПРЕКРАЩЕНИЯ</w:t>
      </w:r>
      <w:r w:rsidRPr="00A65476">
        <w:rPr>
          <w:bCs/>
        </w:rPr>
        <w:t xml:space="preserve"> </w:t>
      </w:r>
      <w:r w:rsidRPr="00F3721E">
        <w:rPr>
          <w:b/>
          <w:bCs/>
        </w:rPr>
        <w:t>ПРАВА НА НЕДВИЖИМОЕ ИМУЩЕСТВО</w:t>
      </w:r>
    </w:p>
    <w:p w:rsidR="00F3721E" w:rsidRPr="00F3721E" w:rsidRDefault="00F3721E" w:rsidP="00F3721E">
      <w:pPr>
        <w:tabs>
          <w:tab w:val="left" w:pos="1515"/>
        </w:tabs>
        <w:spacing w:line="276" w:lineRule="auto"/>
        <w:jc w:val="center"/>
        <w:rPr>
          <w:b/>
          <w:bCs/>
        </w:rPr>
      </w:pPr>
    </w:p>
    <w:p w:rsidR="00F3721E" w:rsidRPr="00A65476" w:rsidRDefault="00F3721E" w:rsidP="00F3721E">
      <w:pPr>
        <w:tabs>
          <w:tab w:val="left" w:pos="-851"/>
        </w:tabs>
        <w:spacing w:line="276" w:lineRule="auto"/>
        <w:jc w:val="both"/>
        <w:rPr>
          <w:bCs/>
        </w:rPr>
      </w:pPr>
      <w:r>
        <w:rPr>
          <w:bCs/>
        </w:rPr>
        <w:tab/>
      </w:r>
      <w:proofErr w:type="gramStart"/>
      <w:r w:rsidRPr="00A65476">
        <w:rPr>
          <w:bCs/>
        </w:rPr>
        <w:t xml:space="preserve">Росреестр письмом от 29.04.2021 № 14-33-00-ГЕ/21 «О направлении письма Минфина России по вопросу уплаты государственной пошлины за государственную регистрацию прекращения права на недвижимое имущество на основании судебного акта» сообщает, что госпошлина за регистрацию прекращения права на недвижимое имущество на основании решения суда уплачивается </w:t>
      </w:r>
      <w:proofErr w:type="spellStart"/>
      <w:r w:rsidRPr="00A65476">
        <w:rPr>
          <w:bCs/>
        </w:rPr>
        <w:t>физлицами</w:t>
      </w:r>
      <w:proofErr w:type="spellEnd"/>
      <w:r w:rsidRPr="00A65476">
        <w:rPr>
          <w:bCs/>
        </w:rPr>
        <w:t xml:space="preserve"> в размере 2 000 рублей, организациями - 22 000 рублей.</w:t>
      </w:r>
      <w:proofErr w:type="gramEnd"/>
    </w:p>
    <w:p w:rsidR="00F3721E" w:rsidRPr="00A65476" w:rsidRDefault="00F3721E" w:rsidP="00F3721E">
      <w:pPr>
        <w:spacing w:line="276" w:lineRule="auto"/>
        <w:jc w:val="both"/>
        <w:rPr>
          <w:bCs/>
        </w:rPr>
      </w:pPr>
      <w:r>
        <w:rPr>
          <w:bCs/>
        </w:rPr>
        <w:tab/>
      </w:r>
      <w:r w:rsidRPr="00A65476">
        <w:rPr>
          <w:bCs/>
        </w:rPr>
        <w:t>Вступившие в законную силу судебные акты являются основаниями для осуществления государственного кадастрового учета и (или) государственной регистрации прав.</w:t>
      </w:r>
    </w:p>
    <w:p w:rsidR="00F3721E" w:rsidRPr="00A65476" w:rsidRDefault="00F3721E" w:rsidP="00F3721E">
      <w:pPr>
        <w:spacing w:line="276" w:lineRule="auto"/>
        <w:jc w:val="both"/>
        <w:rPr>
          <w:bCs/>
        </w:rPr>
      </w:pPr>
      <w:r>
        <w:rPr>
          <w:bCs/>
        </w:rPr>
        <w:tab/>
      </w:r>
      <w:r w:rsidRPr="00A65476">
        <w:rPr>
          <w:bCs/>
        </w:rPr>
        <w:t xml:space="preserve">Размер госпошлины за </w:t>
      </w:r>
      <w:proofErr w:type="spellStart"/>
      <w:r w:rsidRPr="00A65476">
        <w:rPr>
          <w:bCs/>
        </w:rPr>
        <w:t>госрегистрацию</w:t>
      </w:r>
      <w:proofErr w:type="spellEnd"/>
      <w:r w:rsidRPr="00A65476">
        <w:rPr>
          <w:bCs/>
        </w:rPr>
        <w:t xml:space="preserve"> прав, ограничений прав и обременений объектов недвижимости, сделок с объектом недвижимости установлен подпунктом 22 пункта 1 статьи 333.33 НК РФ (2000 рублей для </w:t>
      </w:r>
      <w:proofErr w:type="spellStart"/>
      <w:r w:rsidRPr="00A65476">
        <w:rPr>
          <w:bCs/>
        </w:rPr>
        <w:t>физлиц</w:t>
      </w:r>
      <w:proofErr w:type="spellEnd"/>
      <w:r w:rsidRPr="00A65476">
        <w:rPr>
          <w:bCs/>
        </w:rPr>
        <w:t xml:space="preserve"> и 22000 рублей для </w:t>
      </w:r>
      <w:proofErr w:type="spellStart"/>
      <w:r w:rsidRPr="00A65476">
        <w:rPr>
          <w:bCs/>
        </w:rPr>
        <w:t>юрлиц</w:t>
      </w:r>
      <w:proofErr w:type="spellEnd"/>
      <w:r w:rsidRPr="00A65476">
        <w:rPr>
          <w:bCs/>
        </w:rPr>
        <w:t>).</w:t>
      </w:r>
    </w:p>
    <w:p w:rsidR="00F3721E" w:rsidRPr="00A65476" w:rsidRDefault="00F3721E" w:rsidP="00F3721E">
      <w:pPr>
        <w:tabs>
          <w:tab w:val="left" w:pos="-567"/>
        </w:tabs>
        <w:spacing w:line="276" w:lineRule="auto"/>
        <w:jc w:val="both"/>
        <w:rPr>
          <w:bCs/>
        </w:rPr>
      </w:pPr>
      <w:r>
        <w:rPr>
          <w:bCs/>
        </w:rPr>
        <w:tab/>
      </w:r>
      <w:r w:rsidRPr="00A65476">
        <w:rPr>
          <w:bCs/>
        </w:rPr>
        <w:t>Случаи совершения юридически значимых действий, при которых госпошлина не уплачивается, предусмотрены подпунктом 8.1 пункта 3 статьи 333.35 НК РФ.</w:t>
      </w:r>
    </w:p>
    <w:p w:rsidR="00F3721E" w:rsidRPr="00A65476" w:rsidRDefault="00F3721E" w:rsidP="00F3721E">
      <w:pPr>
        <w:spacing w:line="276" w:lineRule="auto"/>
        <w:jc w:val="both"/>
        <w:rPr>
          <w:bCs/>
        </w:rPr>
      </w:pPr>
      <w:r>
        <w:rPr>
          <w:bCs/>
        </w:rPr>
        <w:tab/>
      </w:r>
      <w:r w:rsidRPr="00A65476">
        <w:rPr>
          <w:bCs/>
        </w:rPr>
        <w:t xml:space="preserve">Сообщается, что по иным основаниям, не предусмотренным подпунктом 8.1 пункта 3 статьи 333.35 НК РФ, в т.ч. возникшим на основании решения суда, за </w:t>
      </w:r>
      <w:proofErr w:type="spellStart"/>
      <w:r w:rsidRPr="00A65476">
        <w:rPr>
          <w:bCs/>
        </w:rPr>
        <w:t>госрегистрацию</w:t>
      </w:r>
      <w:proofErr w:type="spellEnd"/>
      <w:r w:rsidRPr="00A65476">
        <w:rPr>
          <w:bCs/>
        </w:rPr>
        <w:t xml:space="preserve"> прекращения права должна уплачиваться госпошлина в соответствии с подпунктом 22 пункта 1 статьи 333.33 НК РФ.</w:t>
      </w:r>
    </w:p>
    <w:p w:rsidR="00F3721E" w:rsidRDefault="00F3721E" w:rsidP="00F3721E">
      <w:pPr>
        <w:tabs>
          <w:tab w:val="left" w:pos="1515"/>
        </w:tabs>
        <w:spacing w:line="276" w:lineRule="auto"/>
        <w:jc w:val="both"/>
        <w:rPr>
          <w:szCs w:val="28"/>
        </w:rPr>
      </w:pPr>
    </w:p>
    <w:p w:rsidR="00F3721E" w:rsidRPr="00490107" w:rsidRDefault="00F3721E" w:rsidP="00F3721E">
      <w:pPr>
        <w:tabs>
          <w:tab w:val="left" w:pos="1515"/>
        </w:tabs>
        <w:spacing w:line="276" w:lineRule="auto"/>
        <w:jc w:val="right"/>
        <w:rPr>
          <w:sz w:val="16"/>
          <w:szCs w:val="18"/>
        </w:rPr>
      </w:pPr>
      <w:r w:rsidRPr="00431510">
        <w:rPr>
          <w:szCs w:val="28"/>
        </w:rPr>
        <w:t>А.Л. Шаипов</w:t>
      </w:r>
      <w:r>
        <w:rPr>
          <w:szCs w:val="28"/>
        </w:rPr>
        <w:t>,</w:t>
      </w:r>
    </w:p>
    <w:p w:rsidR="00F3721E" w:rsidRPr="00431510" w:rsidRDefault="00F3721E" w:rsidP="00F3721E">
      <w:pPr>
        <w:tabs>
          <w:tab w:val="left" w:pos="1515"/>
        </w:tabs>
        <w:spacing w:line="276" w:lineRule="auto"/>
        <w:jc w:val="right"/>
        <w:rPr>
          <w:szCs w:val="28"/>
        </w:rPr>
      </w:pPr>
      <w:r>
        <w:rPr>
          <w:szCs w:val="28"/>
        </w:rPr>
        <w:t>з</w:t>
      </w:r>
      <w:r w:rsidRPr="00431510">
        <w:rPr>
          <w:szCs w:val="28"/>
        </w:rPr>
        <w:t xml:space="preserve">аместитель руководителя Управления </w:t>
      </w:r>
    </w:p>
    <w:p w:rsidR="00F3721E" w:rsidRPr="00431510" w:rsidRDefault="00F3721E" w:rsidP="00F3721E">
      <w:pPr>
        <w:tabs>
          <w:tab w:val="left" w:pos="1515"/>
        </w:tabs>
        <w:spacing w:line="276" w:lineRule="auto"/>
        <w:jc w:val="right"/>
        <w:rPr>
          <w:szCs w:val="28"/>
        </w:rPr>
      </w:pPr>
      <w:r w:rsidRPr="00431510">
        <w:rPr>
          <w:szCs w:val="28"/>
        </w:rPr>
        <w:t>Росреестра по Чеченской Республике</w:t>
      </w:r>
    </w:p>
    <w:p w:rsidR="00F3721E" w:rsidRPr="00431510" w:rsidRDefault="00F3721E" w:rsidP="00F3721E">
      <w:pPr>
        <w:tabs>
          <w:tab w:val="left" w:pos="1515"/>
        </w:tabs>
        <w:spacing w:line="276" w:lineRule="auto"/>
        <w:jc w:val="both"/>
        <w:rPr>
          <w:szCs w:val="28"/>
        </w:rPr>
      </w:pPr>
    </w:p>
    <w:p w:rsidR="00F3721E" w:rsidRDefault="00F3721E"/>
    <w:sectPr w:rsidR="00F3721E" w:rsidSect="00490107">
      <w:pgSz w:w="11907" w:h="16840" w:code="9"/>
      <w:pgMar w:top="993" w:right="850" w:bottom="284"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721E"/>
    <w:rsid w:val="00042520"/>
    <w:rsid w:val="00F3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1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2021-05-31T14:30:00Z</dcterms:created>
  <dcterms:modified xsi:type="dcterms:W3CDTF">2021-05-31T14:34:00Z</dcterms:modified>
</cp:coreProperties>
</file>