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62" w:rsidRDefault="000E5D62" w:rsidP="000E5D62">
      <w:pPr>
        <w:tabs>
          <w:tab w:val="left" w:pos="1515"/>
        </w:tabs>
        <w:spacing w:line="276" w:lineRule="auto"/>
        <w:jc w:val="center"/>
        <w:rPr>
          <w:bCs/>
        </w:rPr>
      </w:pPr>
      <w:r w:rsidRPr="00154F1E">
        <w:rPr>
          <w:bCs/>
        </w:rPr>
        <w:t xml:space="preserve">Росреестр: обязанность передачи в орган </w:t>
      </w:r>
      <w:proofErr w:type="gramStart"/>
      <w:r w:rsidRPr="00154F1E">
        <w:rPr>
          <w:bCs/>
        </w:rPr>
        <w:t>регистрации прав акта согласования местоположения границ земельных участков</w:t>
      </w:r>
      <w:proofErr w:type="gramEnd"/>
    </w:p>
    <w:p w:rsidR="000E5D62" w:rsidRPr="00154F1E" w:rsidRDefault="000E5D62" w:rsidP="000E5D62">
      <w:pPr>
        <w:tabs>
          <w:tab w:val="left" w:pos="1515"/>
        </w:tabs>
        <w:spacing w:line="276" w:lineRule="auto"/>
        <w:jc w:val="center"/>
        <w:rPr>
          <w:bCs/>
        </w:rPr>
      </w:pPr>
    </w:p>
    <w:p w:rsidR="000E5D62" w:rsidRPr="00154F1E" w:rsidRDefault="000E5D62" w:rsidP="000E5D62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54F1E">
        <w:rPr>
          <w:bCs/>
        </w:rPr>
        <w:t>Росреестр письмом от 14.05.2021 № 13/1-00145/21 "О рассмотрении обращения" сообщает, что, по мнению Росреестра, с 30 апреля 2021 года акты согласования не подлежат передаче в орган регистрации прав независимо от даты осуществления государственного кадастрового учета земельного участка.</w:t>
      </w:r>
    </w:p>
    <w:p w:rsidR="000E5D62" w:rsidRPr="00154F1E" w:rsidRDefault="000E5D62" w:rsidP="000E5D62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54F1E">
        <w:rPr>
          <w:bCs/>
        </w:rPr>
        <w:t xml:space="preserve">Федеральным законом от 30.04.2021 № 120-ФЗ исключена обязанность кадастрового инженера </w:t>
      </w:r>
      <w:proofErr w:type="gramStart"/>
      <w:r w:rsidRPr="00154F1E">
        <w:rPr>
          <w:bCs/>
        </w:rPr>
        <w:t>передавать</w:t>
      </w:r>
      <w:proofErr w:type="gramEnd"/>
      <w:r w:rsidRPr="00154F1E">
        <w:rPr>
          <w:bCs/>
        </w:rPr>
        <w:t xml:space="preserve"> в орган регистрации прав акты согласования местоположения границ земельных участков, подготовленные в ходе выполнения кадастровых работ. В связи с указанным изменением подлежит отмене Приказ Минэкономразвития России от 09.06.2016 № 363, в соответствии с которым был установлен срок передачи таких актов - в течение 30 рабочих дней со дня осуществления кадастрового учета.</w:t>
      </w:r>
    </w:p>
    <w:p w:rsidR="000E5D62" w:rsidRPr="00154F1E" w:rsidRDefault="000E5D62" w:rsidP="000E5D62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54F1E">
        <w:rPr>
          <w:bCs/>
        </w:rPr>
        <w:t>Отмечается, что указанным законом не установлены особенности по передаче актов согласования в отношении земельных участков, государственный кадастровый учет которых осуществлен до вступления в силу соответствующих изменений, если на дату его вступления в силу не истек установленный срок их передачи.</w:t>
      </w:r>
    </w:p>
    <w:p w:rsidR="000E5D62" w:rsidRPr="005874DF" w:rsidRDefault="000E5D62" w:rsidP="000E5D62">
      <w:pPr>
        <w:tabs>
          <w:tab w:val="left" w:pos="1515"/>
        </w:tabs>
        <w:spacing w:line="276" w:lineRule="auto"/>
        <w:jc w:val="center"/>
        <w:rPr>
          <w:b/>
          <w:bCs/>
        </w:rPr>
      </w:pPr>
    </w:p>
    <w:p w:rsidR="00837F02" w:rsidRDefault="00837F02"/>
    <w:p w:rsidR="000E5D62" w:rsidRDefault="000E5D62"/>
    <w:p w:rsidR="000E5D62" w:rsidRDefault="000E5D62" w:rsidP="000E5D62">
      <w:pPr>
        <w:tabs>
          <w:tab w:val="left" w:pos="1515"/>
        </w:tabs>
        <w:spacing w:line="276" w:lineRule="auto"/>
        <w:jc w:val="center"/>
        <w:rPr>
          <w:bCs/>
        </w:rPr>
      </w:pPr>
      <w:r w:rsidRPr="00154F1E">
        <w:rPr>
          <w:bCs/>
        </w:rPr>
        <w:t xml:space="preserve">Росреестр: </w:t>
      </w:r>
      <w:r w:rsidRPr="0076167A">
        <w:rPr>
          <w:bCs/>
        </w:rPr>
        <w:t>ТИПОВЫЕ ФОРМЫ ДОКУМЕНТОВ, ИСПОЛЬЗУЕМЫХ ПРИ ПРОВЕДЕНИИ ГОСУДАРСТВЕННОГО КОНТРОЛЯ</w:t>
      </w:r>
    </w:p>
    <w:p w:rsidR="000E5D62" w:rsidRPr="0076167A" w:rsidRDefault="000E5D62" w:rsidP="000E5D62">
      <w:pPr>
        <w:tabs>
          <w:tab w:val="left" w:pos="1515"/>
        </w:tabs>
        <w:spacing w:line="276" w:lineRule="auto"/>
        <w:jc w:val="center"/>
        <w:rPr>
          <w:bCs/>
        </w:rPr>
      </w:pPr>
    </w:p>
    <w:p w:rsidR="000E5D62" w:rsidRPr="0076167A" w:rsidRDefault="000E5D62" w:rsidP="000E5D62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76167A">
        <w:rPr>
          <w:bCs/>
        </w:rPr>
        <w:t>Приказом Минэкономразвития России от 31.03.2021 № 151 "О типовых формах документов, используемых контрольным (надзорным) органом" утверждены типовые формы документов, используемых при проведении государственного контроля (надзора) и муниципального контроля.</w:t>
      </w:r>
    </w:p>
    <w:p w:rsidR="000E5D62" w:rsidRPr="0076167A" w:rsidRDefault="000E5D62" w:rsidP="000E5D62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76167A">
        <w:rPr>
          <w:bCs/>
        </w:rPr>
        <w:t>С 1 июля 2021 года вступает в силу новый Федеральный закон "О государственном контроле (надзоре) и муниципальном контроле в Российской Федерации".</w:t>
      </w:r>
    </w:p>
    <w:p w:rsidR="000E5D62" w:rsidRPr="0076167A" w:rsidRDefault="000E5D62" w:rsidP="000E5D62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76167A">
        <w:rPr>
          <w:bCs/>
        </w:rPr>
        <w:t>В целях реализации положений закона утверждены типовые формы документов, используемых контрольным (надзорным) органом при проведении соответствующих контрольных мероприятий, в том числе:</w:t>
      </w:r>
    </w:p>
    <w:p w:rsidR="000E5D62" w:rsidRPr="0076167A" w:rsidRDefault="000E5D62" w:rsidP="000E5D62">
      <w:pPr>
        <w:tabs>
          <w:tab w:val="left" w:pos="1515"/>
        </w:tabs>
        <w:spacing w:line="276" w:lineRule="auto"/>
        <w:jc w:val="both"/>
        <w:rPr>
          <w:bCs/>
        </w:rPr>
      </w:pPr>
      <w:r w:rsidRPr="0076167A">
        <w:rPr>
          <w:bCs/>
        </w:rPr>
        <w:t>типовая форма решения о проведении контрольной закупки;</w:t>
      </w:r>
    </w:p>
    <w:p w:rsidR="000E5D62" w:rsidRPr="0076167A" w:rsidRDefault="000E5D62" w:rsidP="000E5D62">
      <w:pPr>
        <w:tabs>
          <w:tab w:val="left" w:pos="1515"/>
        </w:tabs>
        <w:spacing w:line="276" w:lineRule="auto"/>
        <w:jc w:val="both"/>
        <w:rPr>
          <w:bCs/>
        </w:rPr>
      </w:pPr>
      <w:r w:rsidRPr="0076167A">
        <w:rPr>
          <w:bCs/>
        </w:rPr>
        <w:t>типовая форма решения о проведении выборочного контроля;</w:t>
      </w:r>
    </w:p>
    <w:p w:rsidR="000E5D62" w:rsidRPr="0076167A" w:rsidRDefault="000E5D62" w:rsidP="000E5D62">
      <w:pPr>
        <w:tabs>
          <w:tab w:val="left" w:pos="1515"/>
        </w:tabs>
        <w:spacing w:line="276" w:lineRule="auto"/>
        <w:jc w:val="both"/>
        <w:rPr>
          <w:bCs/>
        </w:rPr>
      </w:pPr>
      <w:r w:rsidRPr="0076167A">
        <w:rPr>
          <w:bCs/>
        </w:rPr>
        <w:t>типовая форма решения о проведении инспекционного визита;</w:t>
      </w:r>
    </w:p>
    <w:p w:rsidR="000E5D62" w:rsidRPr="0076167A" w:rsidRDefault="000E5D62" w:rsidP="000E5D62">
      <w:pPr>
        <w:tabs>
          <w:tab w:val="left" w:pos="1515"/>
        </w:tabs>
        <w:spacing w:line="276" w:lineRule="auto"/>
        <w:jc w:val="both"/>
        <w:rPr>
          <w:bCs/>
        </w:rPr>
      </w:pPr>
      <w:r w:rsidRPr="0076167A">
        <w:rPr>
          <w:bCs/>
        </w:rPr>
        <w:lastRenderedPageBreak/>
        <w:t>типовая форма акта контрольной закупки;</w:t>
      </w:r>
    </w:p>
    <w:p w:rsidR="000E5D62" w:rsidRPr="0076167A" w:rsidRDefault="000E5D62" w:rsidP="000E5D62">
      <w:pPr>
        <w:tabs>
          <w:tab w:val="left" w:pos="1515"/>
        </w:tabs>
        <w:spacing w:line="276" w:lineRule="auto"/>
        <w:jc w:val="both"/>
        <w:rPr>
          <w:bCs/>
        </w:rPr>
      </w:pPr>
      <w:r w:rsidRPr="0076167A">
        <w:rPr>
          <w:bCs/>
        </w:rPr>
        <w:t>типовая форма акта документарной проверки;</w:t>
      </w:r>
    </w:p>
    <w:p w:rsidR="000E5D62" w:rsidRPr="0076167A" w:rsidRDefault="000E5D62" w:rsidP="000E5D62">
      <w:pPr>
        <w:tabs>
          <w:tab w:val="left" w:pos="1515"/>
        </w:tabs>
        <w:spacing w:line="276" w:lineRule="auto"/>
        <w:jc w:val="both"/>
        <w:rPr>
          <w:bCs/>
        </w:rPr>
      </w:pPr>
      <w:r w:rsidRPr="0076167A">
        <w:rPr>
          <w:bCs/>
        </w:rPr>
        <w:t>типовую форму предостережения о недопустимости нарушения обязательных требований.</w:t>
      </w:r>
    </w:p>
    <w:p w:rsidR="000E5D62" w:rsidRPr="005874DF" w:rsidRDefault="000E5D62" w:rsidP="000E5D62">
      <w:pPr>
        <w:tabs>
          <w:tab w:val="left" w:pos="1515"/>
        </w:tabs>
        <w:spacing w:line="276" w:lineRule="auto"/>
        <w:jc w:val="center"/>
        <w:rPr>
          <w:b/>
          <w:bCs/>
        </w:rPr>
      </w:pPr>
    </w:p>
    <w:p w:rsidR="002B2B48" w:rsidRDefault="002B2B48" w:rsidP="000E5D62">
      <w:pPr>
        <w:tabs>
          <w:tab w:val="left" w:pos="1515"/>
        </w:tabs>
        <w:spacing w:line="276" w:lineRule="auto"/>
        <w:jc w:val="right"/>
        <w:rPr>
          <w:szCs w:val="28"/>
        </w:rPr>
      </w:pPr>
    </w:p>
    <w:p w:rsidR="002B2B48" w:rsidRDefault="002B2B48" w:rsidP="000E5D62">
      <w:pPr>
        <w:tabs>
          <w:tab w:val="left" w:pos="1515"/>
        </w:tabs>
        <w:spacing w:line="276" w:lineRule="auto"/>
        <w:jc w:val="right"/>
        <w:rPr>
          <w:szCs w:val="28"/>
        </w:rPr>
      </w:pPr>
    </w:p>
    <w:p w:rsidR="002B2B48" w:rsidRDefault="002B2B48" w:rsidP="002B2B48">
      <w:pPr>
        <w:tabs>
          <w:tab w:val="left" w:pos="1515"/>
        </w:tabs>
        <w:spacing w:line="276" w:lineRule="auto"/>
        <w:jc w:val="center"/>
        <w:rPr>
          <w:bCs/>
        </w:rPr>
      </w:pPr>
      <w:r>
        <w:rPr>
          <w:szCs w:val="28"/>
        </w:rPr>
        <w:tab/>
      </w:r>
      <w:r>
        <w:rPr>
          <w:bCs/>
        </w:rPr>
        <w:t>Росреестр: РЕГИСТРАЦИЯ ПРАВА ОБЩЕЙ ДОЛЕВОЙ СОБСТВЕННОСТИ ОДНОГО ИЗ НАСЛЕДНИКОВ</w:t>
      </w:r>
    </w:p>
    <w:p w:rsidR="002B2B48" w:rsidRDefault="002B2B48" w:rsidP="002B2B48">
      <w:pPr>
        <w:tabs>
          <w:tab w:val="left" w:pos="1515"/>
        </w:tabs>
        <w:spacing w:line="276" w:lineRule="auto"/>
        <w:jc w:val="center"/>
        <w:rPr>
          <w:bCs/>
        </w:rPr>
      </w:pPr>
    </w:p>
    <w:p w:rsidR="002B2B48" w:rsidRDefault="002B2B48" w:rsidP="002B2B48">
      <w:pPr>
        <w:tabs>
          <w:tab w:val="left" w:pos="-284"/>
        </w:tabs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Росреестр письмом от 22.04.2021 № 14-3096-ГЕ/21 «О государственной регистрации права общей долевой собственности одного из наследников на недвижимое имущество при наличии в ЕГРН зарегистрированного права наследователя на него» даны разъяснения по вопросу государственной регистрации права общей долевой собственности одного из наследников на недвижимое имущество при наличии в Едином государственном реестре недвижимости зарегистрированного права наследодателя на него.</w:t>
      </w:r>
      <w:proofErr w:type="gramEnd"/>
    </w:p>
    <w:p w:rsidR="002B2B48" w:rsidRDefault="002B2B48" w:rsidP="002B2B48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Сообщается, в частности, что в силу статьи 1164 Гражданского кодекса РФ при наследовании по закону, если наследственное имущество переходит к двум или нескольким наследникам, и при наследовании по завещанию, если оно завещано двум или нескольким наследникам без указания наследуемого каждым из них конкретного имущества, наследственное имущество поступает со дня открытия наследства в общую долевую собственность наследников;</w:t>
      </w:r>
      <w:proofErr w:type="gramEnd"/>
      <w:r>
        <w:rPr>
          <w:bCs/>
        </w:rPr>
        <w:t xml:space="preserve"> право же собственности наследодателя на наследственное имущество со дня его смерти прекращается.</w:t>
      </w:r>
    </w:p>
    <w:p w:rsidR="002B2B48" w:rsidRDefault="002B2B48" w:rsidP="002B2B48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Исходя из положений действующих нормативных правовых актов, в том числе части 2 статьи 69 Федерального закона от 13.07.2015 № 218-ФЗ "О государственной регистрации недвижимости", для проведения государственной регистрации права общей долевой собственности, возникшего (возникающего) не с момента государственной регистрации (например, при приобретении двумя и более лицами недвижимого имущества в порядке наследования), соответствующие заявления и документы могут быть представлены (в том числе</w:t>
      </w:r>
      <w:proofErr w:type="gramEnd"/>
      <w:r>
        <w:rPr>
          <w:bCs/>
        </w:rPr>
        <w:t xml:space="preserve"> нотариусом) на государственную регистрацию права общей долевой собственности (доли в праве) на недвижимое имущество любого из участников общей долевой собственности независимо от того, представлены ли заявления и документы на государственную регистрацию прав (долей в праве) других участников общей долевой собственности.</w:t>
      </w:r>
    </w:p>
    <w:p w:rsidR="002B2B48" w:rsidRDefault="002B2B48" w:rsidP="002B2B48">
      <w:pPr>
        <w:spacing w:line="276" w:lineRule="auto"/>
        <w:jc w:val="both"/>
        <w:rPr>
          <w:bCs/>
        </w:rPr>
      </w:pPr>
      <w:r>
        <w:rPr>
          <w:bCs/>
        </w:rPr>
        <w:lastRenderedPageBreak/>
        <w:tab/>
      </w:r>
      <w:proofErr w:type="gramStart"/>
      <w:r>
        <w:rPr>
          <w:bCs/>
        </w:rPr>
        <w:t>Учитывая вышеизложенное, а также положения пунктов 90, 91 Порядка ведения Единого государственного реестра недвижимости, утвержденного действующим в настоящее время приказом Минэкономразвития России от 16.12.2015 № 943 (далее - Порядок), при государственной регистрации права общей долевой собственности двух и более лиц на недвижимое имущество, возникшего в порядке наследования:</w:t>
      </w:r>
      <w:proofErr w:type="gramEnd"/>
    </w:p>
    <w:p w:rsidR="002B2B48" w:rsidRDefault="002B2B48" w:rsidP="002B2B48">
      <w:pPr>
        <w:tabs>
          <w:tab w:val="left" w:pos="1515"/>
        </w:tabs>
        <w:spacing w:line="276" w:lineRule="auto"/>
        <w:jc w:val="both"/>
        <w:rPr>
          <w:bCs/>
        </w:rPr>
      </w:pPr>
      <w:r>
        <w:rPr>
          <w:bCs/>
        </w:rPr>
        <w:t>если государственная регистрация осуществляется одновременно в отношении всех участников долевой собственности (наследников), в ЕГРН должны быть внесены новые записи о праве каждого из этих участников на недвижимое имущество, а также одновременно погашена запись о праве собственности наследодателя на данное недвижимое имущество;</w:t>
      </w:r>
    </w:p>
    <w:p w:rsidR="002B2B48" w:rsidRDefault="002B2B48" w:rsidP="002B2B48">
      <w:pPr>
        <w:tabs>
          <w:tab w:val="left" w:pos="1515"/>
        </w:tabs>
        <w:spacing w:line="276" w:lineRule="auto"/>
        <w:jc w:val="both"/>
        <w:rPr>
          <w:bCs/>
        </w:rPr>
      </w:pPr>
      <w:r>
        <w:rPr>
          <w:bCs/>
        </w:rPr>
        <w:t>при осуществлении государственной регистрации права общей долевой собственности одного из участников долевой собственности (наследников) в ЕГРН должна быть внесена новая запись о праве (доле в праве) этого участника.</w:t>
      </w:r>
    </w:p>
    <w:p w:rsidR="002B2B48" w:rsidRDefault="002B2B48" w:rsidP="002B2B48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При этом, по мнению Росреестра, поскольку действующими нормативными правовыми актами, в том числе Порядком, не предусмотрено внесение в этом случае каких-либо изменений в запись о праве собственности наследодателя, а правоспособность, то есть также и способность иметь на каком-либо праве недвижимость, данного лица прекращается в момент его смерти, запись о праве собственности наследодателя по аналогии с пунктом 91 Порядка должна быть</w:t>
      </w:r>
      <w:proofErr w:type="gramEnd"/>
      <w:r>
        <w:rPr>
          <w:bCs/>
        </w:rPr>
        <w:t xml:space="preserve"> погашена одновременно с государственной регистрацией права (доли в праве) первого участника долевой собственности.</w:t>
      </w:r>
    </w:p>
    <w:p w:rsidR="002B2B48" w:rsidRDefault="002B2B48" w:rsidP="002B2B48">
      <w:pPr>
        <w:tabs>
          <w:tab w:val="left" w:pos="1515"/>
        </w:tabs>
        <w:spacing w:line="276" w:lineRule="auto"/>
        <w:jc w:val="center"/>
        <w:rPr>
          <w:b/>
          <w:bCs/>
        </w:rPr>
      </w:pPr>
    </w:p>
    <w:p w:rsidR="000E5D62" w:rsidRPr="002B2B48" w:rsidRDefault="002B2B48" w:rsidP="002B2B48">
      <w:pPr>
        <w:tabs>
          <w:tab w:val="left" w:pos="251"/>
          <w:tab w:val="left" w:pos="1515"/>
        </w:tabs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="000E5D62" w:rsidRPr="00431510">
        <w:rPr>
          <w:szCs w:val="28"/>
        </w:rPr>
        <w:t>А.Л. Шаипов</w:t>
      </w:r>
      <w:r w:rsidR="000E5D62">
        <w:rPr>
          <w:szCs w:val="28"/>
        </w:rPr>
        <w:t>,</w:t>
      </w:r>
    </w:p>
    <w:p w:rsidR="000E5D62" w:rsidRPr="00431510" w:rsidRDefault="000E5D62" w:rsidP="000E5D62">
      <w:pPr>
        <w:tabs>
          <w:tab w:val="left" w:pos="1515"/>
        </w:tabs>
        <w:spacing w:line="276" w:lineRule="auto"/>
        <w:jc w:val="right"/>
        <w:rPr>
          <w:szCs w:val="28"/>
        </w:rPr>
      </w:pPr>
      <w:r>
        <w:rPr>
          <w:szCs w:val="28"/>
        </w:rPr>
        <w:t>з</w:t>
      </w:r>
      <w:r w:rsidRPr="00431510">
        <w:rPr>
          <w:szCs w:val="28"/>
        </w:rPr>
        <w:t xml:space="preserve">аместитель руководителя Управления </w:t>
      </w:r>
    </w:p>
    <w:p w:rsidR="000E5D62" w:rsidRDefault="000E5D62" w:rsidP="000E5D62">
      <w:pPr>
        <w:tabs>
          <w:tab w:val="left" w:pos="1515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431510">
        <w:rPr>
          <w:szCs w:val="28"/>
        </w:rPr>
        <w:t>Росреестра по Чеченской Республике</w:t>
      </w:r>
    </w:p>
    <w:p w:rsidR="000E5D62" w:rsidRDefault="000E5D62" w:rsidP="000E5D62">
      <w:pPr>
        <w:tabs>
          <w:tab w:val="left" w:pos="1515"/>
        </w:tabs>
        <w:spacing w:line="276" w:lineRule="auto"/>
        <w:jc w:val="both"/>
        <w:rPr>
          <w:szCs w:val="28"/>
        </w:rPr>
      </w:pPr>
      <w:bookmarkStart w:id="0" w:name="_GoBack"/>
      <w:bookmarkEnd w:id="0"/>
    </w:p>
    <w:p w:rsidR="000E5D62" w:rsidRPr="00431510" w:rsidRDefault="000E5D62" w:rsidP="000E5D62">
      <w:pPr>
        <w:tabs>
          <w:tab w:val="left" w:pos="1515"/>
        </w:tabs>
        <w:spacing w:line="276" w:lineRule="auto"/>
        <w:jc w:val="right"/>
        <w:rPr>
          <w:szCs w:val="28"/>
        </w:rPr>
      </w:pPr>
    </w:p>
    <w:p w:rsidR="000E5D62" w:rsidRPr="00431510" w:rsidRDefault="000E5D62" w:rsidP="000E5D62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0E5D62" w:rsidRDefault="000E5D62"/>
    <w:sectPr w:rsidR="000E5D62" w:rsidSect="0083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5D62"/>
    <w:rsid w:val="000E5D62"/>
    <w:rsid w:val="002B2B48"/>
    <w:rsid w:val="00837F02"/>
    <w:rsid w:val="00B5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2021-06-15T14:23:00Z</dcterms:created>
  <dcterms:modified xsi:type="dcterms:W3CDTF">2021-06-15T14:33:00Z</dcterms:modified>
</cp:coreProperties>
</file>