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3" w:rsidRPr="00D81AB3" w:rsidRDefault="00D81AB3" w:rsidP="00D81AB3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D81AB3">
        <w:rPr>
          <w:b/>
          <w:bCs/>
          <w:szCs w:val="28"/>
        </w:rPr>
        <w:t>Публичная кадастровая карта получила государственную электронную картографическую подложку</w:t>
      </w:r>
    </w:p>
    <w:p w:rsidR="00D81AB3" w:rsidRPr="00D81AB3" w:rsidRDefault="00D81AB3" w:rsidP="00D81AB3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 w:rsidRPr="00E224B0">
        <w:rPr>
          <w:bCs/>
          <w:szCs w:val="28"/>
        </w:rPr>
        <w:t>мультимасштабную</w:t>
      </w:r>
      <w:proofErr w:type="spellEnd"/>
      <w:r w:rsidRPr="00E224B0">
        <w:rPr>
          <w:bCs/>
          <w:szCs w:val="28"/>
        </w:rPr>
        <w:t xml:space="preserve"> карту и </w:t>
      </w:r>
      <w:proofErr w:type="spellStart"/>
      <w:r w:rsidRPr="00E224B0">
        <w:rPr>
          <w:bCs/>
          <w:szCs w:val="28"/>
        </w:rPr>
        <w:t>ортофотопокрытие</w:t>
      </w:r>
      <w:proofErr w:type="spellEnd"/>
      <w:r w:rsidRPr="00E224B0">
        <w:rPr>
          <w:bCs/>
          <w:szCs w:val="28"/>
        </w:rPr>
        <w:t xml:space="preserve"> (фотографические планы местности с точной привязкой к заданной системе координат), а также заменить зарубежные картографические подложки.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>«</w:t>
      </w:r>
      <w:r w:rsidRPr="00E224B0">
        <w:rPr>
          <w:bCs/>
          <w:i/>
          <w:iCs/>
          <w:szCs w:val="28"/>
        </w:rPr>
        <w:t>Вывод</w:t>
      </w:r>
      <w:r w:rsidRPr="00E224B0">
        <w:rPr>
          <w:bCs/>
          <w:szCs w:val="28"/>
        </w:rPr>
        <w:t> </w:t>
      </w:r>
      <w:r w:rsidRPr="00E224B0">
        <w:rPr>
          <w:bCs/>
          <w:i/>
          <w:iCs/>
          <w:szCs w:val="28"/>
        </w:rPr>
        <w:t>на публичную кадастровую карту сведений ЕЭКО стал возможным благодаря </w:t>
      </w:r>
      <w:hyperlink r:id="rId4" w:history="1">
        <w:r w:rsidRPr="00E224B0">
          <w:rPr>
            <w:rStyle w:val="a3"/>
            <w:bCs/>
            <w:i/>
            <w:iCs/>
            <w:szCs w:val="28"/>
          </w:rPr>
          <w:t>запуску</w:t>
        </w:r>
      </w:hyperlink>
      <w:r w:rsidRPr="00E224B0">
        <w:rPr>
          <w:bCs/>
          <w:i/>
          <w:iCs/>
          <w:szCs w:val="28"/>
        </w:rPr>
        <w:t xml:space="preserve"> 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Росреестра, направленный на выполнение стратегической задачи по </w:t>
      </w:r>
      <w:proofErr w:type="spellStart"/>
      <w:r w:rsidRPr="00E224B0">
        <w:rPr>
          <w:bCs/>
          <w:i/>
          <w:iCs/>
          <w:szCs w:val="28"/>
        </w:rPr>
        <w:t>импортозамещению</w:t>
      </w:r>
      <w:proofErr w:type="spellEnd"/>
      <w:r w:rsidRPr="00E224B0">
        <w:rPr>
          <w:bCs/>
          <w:i/>
          <w:iCs/>
          <w:szCs w:val="28"/>
        </w:rPr>
        <w:t xml:space="preserve"> </w:t>
      </w:r>
      <w:proofErr w:type="spellStart"/>
      <w:r w:rsidRPr="00E224B0">
        <w:rPr>
          <w:bCs/>
          <w:i/>
          <w:iCs/>
          <w:szCs w:val="28"/>
        </w:rPr>
        <w:t>геоинформационных</w:t>
      </w:r>
      <w:proofErr w:type="spellEnd"/>
      <w:r w:rsidRPr="00E224B0">
        <w:rPr>
          <w:bCs/>
          <w:i/>
          <w:iCs/>
          <w:szCs w:val="28"/>
        </w:rPr>
        <w:t xml:space="preserve">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 w:rsidRPr="00E224B0">
        <w:rPr>
          <w:bCs/>
          <w:i/>
          <w:iCs/>
          <w:szCs w:val="28"/>
        </w:rPr>
        <w:t>ортофотопланов</w:t>
      </w:r>
      <w:proofErr w:type="spellEnd"/>
      <w:r w:rsidRPr="00E224B0">
        <w:rPr>
          <w:bCs/>
          <w:i/>
          <w:iCs/>
          <w:szCs w:val="28"/>
        </w:rPr>
        <w:t>, топографических карт и планов», – </w:t>
      </w:r>
      <w:r w:rsidRPr="00E224B0">
        <w:rPr>
          <w:bCs/>
          <w:szCs w:val="28"/>
        </w:rPr>
        <w:t>заявил руководитель Росреестра </w:t>
      </w:r>
      <w:r w:rsidRPr="00E224B0">
        <w:rPr>
          <w:b/>
          <w:bCs/>
          <w:szCs w:val="28"/>
        </w:rPr>
        <w:t xml:space="preserve">Олег </w:t>
      </w:r>
      <w:proofErr w:type="spellStart"/>
      <w:r w:rsidRPr="00E224B0">
        <w:rPr>
          <w:b/>
          <w:bCs/>
          <w:szCs w:val="28"/>
        </w:rPr>
        <w:t>Скуфинский</w:t>
      </w:r>
      <w:proofErr w:type="spellEnd"/>
      <w:r w:rsidRPr="00E224B0">
        <w:rPr>
          <w:bCs/>
          <w:szCs w:val="28"/>
        </w:rPr>
        <w:t>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 xml:space="preserve">По его словам, в 2021 году сервисом «Публичная кадастровая карта» воспользовались 10,2 </w:t>
      </w:r>
      <w:proofErr w:type="spellStart"/>
      <w:proofErr w:type="gramStart"/>
      <w:r w:rsidRPr="00E224B0">
        <w:rPr>
          <w:bCs/>
          <w:szCs w:val="28"/>
        </w:rPr>
        <w:t>млн</w:t>
      </w:r>
      <w:proofErr w:type="spellEnd"/>
      <w:proofErr w:type="gramEnd"/>
      <w:r w:rsidRPr="00E224B0">
        <w:rPr>
          <w:bCs/>
          <w:szCs w:val="28"/>
        </w:rPr>
        <w:t xml:space="preserve"> граждан. Ожидается, что в 2022 году количество пользователей увеличится с учетом нового функционала ПКК.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 w:rsidRPr="00E224B0">
        <w:rPr>
          <w:bCs/>
          <w:szCs w:val="28"/>
        </w:rPr>
        <w:t>Минкомсвязи</w:t>
      </w:r>
      <w:proofErr w:type="spellEnd"/>
      <w:r w:rsidRPr="00E224B0">
        <w:rPr>
          <w:bCs/>
          <w:szCs w:val="28"/>
        </w:rPr>
        <w:t xml:space="preserve">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форматах.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 w:rsidRPr="00E224B0">
        <w:rPr>
          <w:bCs/>
          <w:szCs w:val="28"/>
        </w:rPr>
        <w:t>ортофопланов</w:t>
      </w:r>
      <w:proofErr w:type="spellEnd"/>
      <w:r w:rsidRPr="00E224B0">
        <w:rPr>
          <w:bCs/>
          <w:szCs w:val="28"/>
        </w:rPr>
        <w:t xml:space="preserve"> предусмотрено </w:t>
      </w:r>
      <w:r w:rsidRPr="00E224B0">
        <w:rPr>
          <w:bCs/>
          <w:szCs w:val="28"/>
        </w:rPr>
        <w:lastRenderedPageBreak/>
        <w:t>госпрограммой «Национальная система пространственных данных» до конца 2024 года.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>«</w:t>
      </w:r>
      <w:r w:rsidRPr="00E224B0">
        <w:rPr>
          <w:bCs/>
          <w:i/>
          <w:iCs/>
          <w:szCs w:val="28"/>
        </w:rPr>
        <w:t>В рамках Национальной системы пространственных данных Росреестр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 </w:t>
      </w:r>
      <w:hyperlink r:id="rId5" w:history="1">
        <w:r w:rsidRPr="00E224B0">
          <w:rPr>
            <w:rStyle w:val="a3"/>
            <w:bCs/>
            <w:i/>
            <w:iCs/>
            <w:szCs w:val="28"/>
          </w:rPr>
          <w:t>ввод в эксплуатацию</w:t>
        </w:r>
      </w:hyperlink>
      <w:r w:rsidRPr="00E224B0">
        <w:rPr>
          <w:bCs/>
          <w:i/>
          <w:iCs/>
          <w:szCs w:val="28"/>
        </w:rPr>
        <w:t> 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 </w:t>
      </w:r>
      <w:r w:rsidRPr="00E224B0">
        <w:rPr>
          <w:bCs/>
          <w:szCs w:val="28"/>
        </w:rPr>
        <w:t>- сообщила заместитель руководителя Росреестра, руководитель цифровой трансформации </w:t>
      </w:r>
      <w:r w:rsidRPr="00E224B0">
        <w:rPr>
          <w:b/>
          <w:bCs/>
          <w:szCs w:val="28"/>
        </w:rPr>
        <w:t>Елена Мартынова</w:t>
      </w:r>
      <w:r w:rsidRPr="00E224B0">
        <w:rPr>
          <w:bCs/>
          <w:szCs w:val="28"/>
        </w:rPr>
        <w:t>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>«</w:t>
      </w:r>
      <w:r w:rsidRPr="00E224B0">
        <w:rPr>
          <w:bCs/>
          <w:i/>
          <w:iCs/>
          <w:szCs w:val="28"/>
        </w:rPr>
        <w:t xml:space="preserve">Через личный кабинет ГИС ФППД реализованы возможности для подачи заявлений о предоставлении сведений ЕЭКО и осуществления </w:t>
      </w:r>
      <w:proofErr w:type="spellStart"/>
      <w:r w:rsidRPr="00E224B0">
        <w:rPr>
          <w:bCs/>
          <w:i/>
          <w:iCs/>
          <w:szCs w:val="28"/>
        </w:rPr>
        <w:t>онлайн-оплаты</w:t>
      </w:r>
      <w:proofErr w:type="spellEnd"/>
      <w:r w:rsidRPr="00E224B0">
        <w:rPr>
          <w:bCs/>
          <w:i/>
          <w:iCs/>
          <w:szCs w:val="28"/>
        </w:rPr>
        <w:t xml:space="preserve">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</w:t>
      </w:r>
      <w:r w:rsidRPr="00E224B0">
        <w:rPr>
          <w:bCs/>
          <w:szCs w:val="28"/>
        </w:rPr>
        <w:t>», - рассказала директор ФГБУ «Центр геодезии, картографии и ИПД» </w:t>
      </w:r>
      <w:r w:rsidRPr="00E224B0">
        <w:rPr>
          <w:b/>
          <w:bCs/>
          <w:szCs w:val="28"/>
        </w:rPr>
        <w:t xml:space="preserve">Татьяна </w:t>
      </w:r>
      <w:proofErr w:type="spellStart"/>
      <w:r w:rsidRPr="00E224B0">
        <w:rPr>
          <w:b/>
          <w:bCs/>
          <w:szCs w:val="28"/>
        </w:rPr>
        <w:t>Турчанова</w:t>
      </w:r>
      <w:proofErr w:type="spellEnd"/>
      <w:r w:rsidRPr="00E224B0">
        <w:rPr>
          <w:bCs/>
          <w:szCs w:val="28"/>
        </w:rPr>
        <w:t>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 xml:space="preserve"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</w:t>
      </w:r>
      <w:r w:rsidRPr="00E224B0">
        <w:rPr>
          <w:bCs/>
          <w:szCs w:val="28"/>
        </w:rPr>
        <w:lastRenderedPageBreak/>
        <w:t>новом качестве и точными координатами доступна всем пользователям публичной кадастровой карты.</w:t>
      </w:r>
    </w:p>
    <w:p w:rsidR="00D81AB3" w:rsidRPr="00E224B0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24B0">
        <w:rPr>
          <w:bCs/>
          <w:szCs w:val="28"/>
        </w:rPr>
        <w:t xml:space="preserve">Кроме ЕЭКО, на публичной кадастровой карте </w:t>
      </w:r>
      <w:proofErr w:type="gramStart"/>
      <w:r w:rsidRPr="00E224B0">
        <w:rPr>
          <w:bCs/>
          <w:szCs w:val="28"/>
        </w:rPr>
        <w:t>остались</w:t>
      </w:r>
      <w:proofErr w:type="gramEnd"/>
      <w:r w:rsidRPr="00E224B0">
        <w:rPr>
          <w:bCs/>
          <w:szCs w:val="28"/>
        </w:rPr>
        <w:t xml:space="preserve">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 </w:t>
      </w:r>
    </w:p>
    <w:p w:rsidR="00D81AB3" w:rsidRPr="00BB3815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D81AB3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E144CD" w:rsidRDefault="00D81AB3"/>
    <w:p w:rsidR="00D81AB3" w:rsidRPr="00D81AB3" w:rsidRDefault="00D81AB3" w:rsidP="00D81AB3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D81AB3">
        <w:rPr>
          <w:b/>
          <w:bCs/>
          <w:szCs w:val="28"/>
        </w:rPr>
        <w:t>Правительство РФ определило случаи, когда ФКП сможет проводить кадастровые работы</w:t>
      </w:r>
    </w:p>
    <w:p w:rsidR="00D81AB3" w:rsidRPr="006C72C3" w:rsidRDefault="00D81AB3" w:rsidP="00D81AB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>Правительство РФ </w:t>
      </w:r>
      <w:hyperlink r:id="rId6" w:history="1">
        <w:r w:rsidRPr="006C72C3">
          <w:rPr>
            <w:rStyle w:val="a3"/>
            <w:bCs/>
            <w:szCs w:val="28"/>
          </w:rPr>
          <w:t>утвердило</w:t>
        </w:r>
      </w:hyperlink>
      <w:r w:rsidRPr="006C72C3">
        <w:rPr>
          <w:bCs/>
          <w:szCs w:val="28"/>
        </w:rPr>
        <w:t> постановление, определившее перечень случаев, при которых ФГБУ «Федеральная кадастровая палата Росреестра» (ФКП) вправе выполнять кадастровые работы и осуществлять подготовку документов, необходимых для внесения сведений в ЕГРН.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 xml:space="preserve">Постановление разработано </w:t>
      </w:r>
      <w:proofErr w:type="spellStart"/>
      <w:r w:rsidRPr="006C72C3">
        <w:rPr>
          <w:bCs/>
          <w:szCs w:val="28"/>
        </w:rPr>
        <w:t>Росреестром</w:t>
      </w:r>
      <w:proofErr w:type="spellEnd"/>
      <w:r w:rsidRPr="006C72C3">
        <w:rPr>
          <w:bCs/>
          <w:szCs w:val="28"/>
        </w:rPr>
        <w:t xml:space="preserve"> в развитие положений Федерального закона от 30.12.2021 № 449-ФЗ, предусматривающего право ФГБУ «ФКП Росреестра»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>Данный подход направлен на 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 xml:space="preserve">Согласно утвержденному перечню, ФКП наделено правом </w:t>
      </w:r>
      <w:proofErr w:type="gramStart"/>
      <w:r w:rsidRPr="006C72C3">
        <w:rPr>
          <w:bCs/>
          <w:szCs w:val="28"/>
        </w:rPr>
        <w:t>проводить</w:t>
      </w:r>
      <w:proofErr w:type="gramEnd"/>
      <w:r w:rsidRPr="006C72C3">
        <w:rPr>
          <w:bCs/>
          <w:szCs w:val="28"/>
        </w:rPr>
        <w:t xml:space="preserve">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Росреестр приступил в 2022 году.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 xml:space="preserve"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</w:t>
      </w:r>
      <w:r w:rsidRPr="006C72C3">
        <w:rPr>
          <w:bCs/>
          <w:szCs w:val="28"/>
        </w:rPr>
        <w:lastRenderedPageBreak/>
        <w:t>атомной энергии; федерального транспорта, путей сообщения, информации, информационных технологий и связи; космической деятельности.</w:t>
      </w:r>
    </w:p>
    <w:p w:rsidR="00D81AB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D81AB3" w:rsidRDefault="00D81AB3" w:rsidP="00D81AB3">
      <w:pPr>
        <w:spacing w:line="276" w:lineRule="auto"/>
        <w:jc w:val="both"/>
        <w:rPr>
          <w:bCs/>
          <w:szCs w:val="28"/>
        </w:rPr>
      </w:pPr>
    </w:p>
    <w:p w:rsidR="00D81AB3" w:rsidRPr="006C72C3" w:rsidRDefault="00D81AB3" w:rsidP="00D81AB3">
      <w:pPr>
        <w:spacing w:line="276" w:lineRule="auto"/>
        <w:ind w:firstLine="708"/>
        <w:jc w:val="both"/>
        <w:rPr>
          <w:bCs/>
          <w:szCs w:val="28"/>
        </w:rPr>
      </w:pPr>
      <w:r w:rsidRPr="006C72C3">
        <w:rPr>
          <w:bCs/>
          <w:szCs w:val="28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</w:t>
      </w:r>
      <w:proofErr w:type="gramStart"/>
      <w:r w:rsidRPr="006C72C3">
        <w:rPr>
          <w:bCs/>
          <w:szCs w:val="28"/>
        </w:rPr>
        <w:t>.Р</w:t>
      </w:r>
      <w:proofErr w:type="gramEnd"/>
      <w:r w:rsidRPr="006C72C3">
        <w:rPr>
          <w:bCs/>
          <w:szCs w:val="28"/>
        </w:rPr>
        <w:t>Ф». Это объекты, в отношении которых «ДОМ</w:t>
      </w:r>
      <w:proofErr w:type="gramStart"/>
      <w:r w:rsidRPr="006C72C3">
        <w:rPr>
          <w:bCs/>
          <w:szCs w:val="28"/>
        </w:rPr>
        <w:t>.Р</w:t>
      </w:r>
      <w:proofErr w:type="gramEnd"/>
      <w:r w:rsidRPr="006C72C3">
        <w:rPr>
          <w:bCs/>
          <w:szCs w:val="28"/>
        </w:rPr>
        <w:t>Ф» выступает в качестве агента от имени Российской Федерации.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также за счет субсидий из федерального бюджета, направляемых в субъекты.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 xml:space="preserve">Работники ФКП для возможности выполнения кадастровых работ должны являться кадастровыми инженерами и членами </w:t>
      </w:r>
      <w:proofErr w:type="spellStart"/>
      <w:r w:rsidRPr="006C72C3">
        <w:rPr>
          <w:bCs/>
          <w:szCs w:val="28"/>
        </w:rPr>
        <w:t>саморегулируемой</w:t>
      </w:r>
      <w:proofErr w:type="spellEnd"/>
      <w:r w:rsidRPr="006C72C3">
        <w:rPr>
          <w:bCs/>
          <w:szCs w:val="28"/>
        </w:rPr>
        <w:t xml:space="preserve"> организации кадастровых инженеров.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D81AB3" w:rsidRPr="006C72C3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C72C3">
        <w:rPr>
          <w:bCs/>
          <w:szCs w:val="28"/>
        </w:rPr>
        <w:t>Кроме того, сотрудники ФКП могут заниматься подготовкой документов 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</w:t>
      </w:r>
      <w:proofErr w:type="gramStart"/>
      <w:r w:rsidRPr="006C72C3">
        <w:rPr>
          <w:bCs/>
          <w:szCs w:val="28"/>
        </w:rPr>
        <w:t>ии и ее</w:t>
      </w:r>
      <w:proofErr w:type="gramEnd"/>
      <w:r w:rsidRPr="006C72C3">
        <w:rPr>
          <w:bCs/>
          <w:szCs w:val="28"/>
        </w:rPr>
        <w:t xml:space="preserve">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D81AB3" w:rsidRPr="00BB3815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Pr="00D81AB3" w:rsidRDefault="00D81AB3" w:rsidP="00D81AB3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D81AB3">
        <w:rPr>
          <w:b/>
          <w:bCs/>
          <w:szCs w:val="28"/>
        </w:rPr>
        <w:t>Почти 10 тысяч объектов недвижимости зарегистрировал</w:t>
      </w:r>
      <w:r w:rsidRPr="00774D3B">
        <w:rPr>
          <w:bCs/>
          <w:szCs w:val="28"/>
        </w:rPr>
        <w:t xml:space="preserve"> </w:t>
      </w:r>
      <w:r w:rsidRPr="00D81AB3">
        <w:rPr>
          <w:b/>
          <w:bCs/>
          <w:szCs w:val="28"/>
        </w:rPr>
        <w:t>Росреестр по «гаражной амнистии»</w:t>
      </w:r>
    </w:p>
    <w:p w:rsidR="00D81AB3" w:rsidRPr="00774D3B" w:rsidRDefault="00D81AB3" w:rsidP="00D81AB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 xml:space="preserve">Росреестр продолжает мониторинг применения в субъектах Российской </w:t>
      </w:r>
      <w:proofErr w:type="gramStart"/>
      <w:r w:rsidRPr="00774D3B">
        <w:rPr>
          <w:bCs/>
          <w:szCs w:val="28"/>
        </w:rPr>
        <w:t>Федерации</w:t>
      </w:r>
      <w:proofErr w:type="gramEnd"/>
      <w:r w:rsidRPr="00774D3B">
        <w:rPr>
          <w:bCs/>
          <w:szCs w:val="28"/>
        </w:rPr>
        <w:t xml:space="preserve"> так называемого Закона о «гаражной амнистии»*. 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>«</w:t>
      </w:r>
      <w:r w:rsidRPr="00774D3B">
        <w:rPr>
          <w:bCs/>
          <w:i/>
          <w:iCs/>
          <w:szCs w:val="28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2021г. по всей стране по правилам, предусмотренным новым законом, зарегистрировано 3 797 земельных участков общей площадью 112101,7 кв.м. и 4 733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 w:rsidRPr="00774D3B">
        <w:rPr>
          <w:bCs/>
          <w:szCs w:val="28"/>
        </w:rPr>
        <w:t>», - отметил заместитель руководителя Росреестра </w:t>
      </w:r>
      <w:r w:rsidRPr="00774D3B">
        <w:rPr>
          <w:b/>
          <w:bCs/>
          <w:szCs w:val="28"/>
        </w:rPr>
        <w:t xml:space="preserve">Алексей </w:t>
      </w:r>
      <w:proofErr w:type="spellStart"/>
      <w:r w:rsidRPr="00774D3B">
        <w:rPr>
          <w:b/>
          <w:bCs/>
          <w:szCs w:val="28"/>
        </w:rPr>
        <w:t>Бутовецкий</w:t>
      </w:r>
      <w:proofErr w:type="spellEnd"/>
      <w:r w:rsidRPr="00774D3B">
        <w:rPr>
          <w:bCs/>
          <w:szCs w:val="28"/>
        </w:rPr>
        <w:t>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>Наибольшая активность заявителей отмечена в Республиках Татарстан</w:t>
      </w:r>
      <w:r>
        <w:rPr>
          <w:bCs/>
          <w:szCs w:val="28"/>
        </w:rPr>
        <w:t xml:space="preserve"> </w:t>
      </w:r>
      <w:r w:rsidRPr="00774D3B">
        <w:rPr>
          <w:bCs/>
          <w:szCs w:val="28"/>
        </w:rPr>
        <w:t>(237 земельных участков общей площадью 6418,4 кв.м. и 552 гаражей) и Мордовия (225 земельных участков общей площадью 5762 кв.м. и 16 гаражей).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>О реализации Закона о «гаражной амнистии» на территории Республики Татарстан рассказал руководитель регионального Росреестра </w:t>
      </w:r>
      <w:proofErr w:type="spellStart"/>
      <w:r w:rsidRPr="00774D3B">
        <w:rPr>
          <w:b/>
          <w:bCs/>
          <w:szCs w:val="28"/>
        </w:rPr>
        <w:t>Азат</w:t>
      </w:r>
      <w:proofErr w:type="spellEnd"/>
      <w:r w:rsidRPr="00774D3B">
        <w:rPr>
          <w:b/>
          <w:bCs/>
          <w:szCs w:val="28"/>
        </w:rPr>
        <w:t xml:space="preserve"> </w:t>
      </w:r>
      <w:proofErr w:type="spellStart"/>
      <w:r w:rsidRPr="00774D3B">
        <w:rPr>
          <w:b/>
          <w:bCs/>
          <w:szCs w:val="28"/>
        </w:rPr>
        <w:t>Зяббаров</w:t>
      </w:r>
      <w:proofErr w:type="spellEnd"/>
      <w:r w:rsidRPr="00774D3B">
        <w:rPr>
          <w:bCs/>
          <w:szCs w:val="28"/>
        </w:rPr>
        <w:t>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>«</w:t>
      </w:r>
      <w:r w:rsidRPr="00774D3B">
        <w:rPr>
          <w:bCs/>
          <w:i/>
          <w:iCs/>
          <w:szCs w:val="28"/>
        </w:rPr>
        <w:t xml:space="preserve">На территории республики «гаражной амнистией» воспользовались уже более 500 татарстанцев. И судя по количеству поступающих к нам документов, видим, что интерес граждан только возрастает. Такого результата мы достигли благодаря разъяснительной работе, проводимой региональным Управлением, среди населения республики. </w:t>
      </w:r>
      <w:proofErr w:type="gramStart"/>
      <w:r w:rsidRPr="00774D3B">
        <w:rPr>
          <w:bCs/>
          <w:i/>
          <w:iCs/>
          <w:szCs w:val="28"/>
        </w:rPr>
        <w:t xml:space="preserve">В настоящее время, с целью разрешения возникающих вопросов при реализации Закона Росреестр Татарстана предпочитает не быть сторонним наблюдателем, а максимально содействовать в их решении – как гражданам, которые </w:t>
      </w:r>
      <w:r w:rsidRPr="00774D3B">
        <w:rPr>
          <w:bCs/>
          <w:i/>
          <w:iCs/>
          <w:szCs w:val="28"/>
        </w:rPr>
        <w:lastRenderedPageBreak/>
        <w:t>желают узаконить свои права на недвижимость, так и органам власти, чтобы их действия были скоординированы и направлены на успешное воплощение в жизнь закона о гаражной амнистии на территории региона</w:t>
      </w:r>
      <w:r w:rsidRPr="00774D3B">
        <w:rPr>
          <w:bCs/>
          <w:szCs w:val="28"/>
        </w:rPr>
        <w:t>», - поделился </w:t>
      </w:r>
      <w:proofErr w:type="spellStart"/>
      <w:r w:rsidRPr="00774D3B">
        <w:rPr>
          <w:b/>
          <w:bCs/>
          <w:szCs w:val="28"/>
        </w:rPr>
        <w:t>Азат</w:t>
      </w:r>
      <w:proofErr w:type="spellEnd"/>
      <w:r w:rsidRPr="00774D3B">
        <w:rPr>
          <w:b/>
          <w:bCs/>
          <w:szCs w:val="28"/>
        </w:rPr>
        <w:t xml:space="preserve"> </w:t>
      </w:r>
      <w:proofErr w:type="spellStart"/>
      <w:r w:rsidRPr="00774D3B">
        <w:rPr>
          <w:b/>
          <w:bCs/>
          <w:szCs w:val="28"/>
        </w:rPr>
        <w:t>Зяббаров</w:t>
      </w:r>
      <w:proofErr w:type="spellEnd"/>
      <w:r w:rsidRPr="00774D3B">
        <w:rPr>
          <w:bCs/>
          <w:szCs w:val="28"/>
        </w:rPr>
        <w:t>.</w:t>
      </w:r>
      <w:proofErr w:type="gramEnd"/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>Лидерами также стали Тверская, Омская и Нижегородская области.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>О ходе работ в рамках «гаражной амнистии» на территории Тверской области рассказал руководитель регионального Управления Росреестра </w:t>
      </w:r>
      <w:r w:rsidRPr="00774D3B">
        <w:rPr>
          <w:b/>
          <w:bCs/>
          <w:szCs w:val="28"/>
        </w:rPr>
        <w:t>Николай Фролов</w:t>
      </w:r>
      <w:r w:rsidRPr="00774D3B">
        <w:rPr>
          <w:bCs/>
          <w:szCs w:val="28"/>
        </w:rPr>
        <w:t xml:space="preserve">. В регионе зарегистрировано 219 земельных участков общей площадью 6175,9 кв.м. и 233 гаража в отношении которых </w:t>
      </w:r>
      <w:proofErr w:type="gramStart"/>
      <w:r w:rsidRPr="00774D3B">
        <w:rPr>
          <w:bCs/>
          <w:szCs w:val="28"/>
        </w:rPr>
        <w:t>осуществлены</w:t>
      </w:r>
      <w:proofErr w:type="gramEnd"/>
      <w:r w:rsidRPr="00774D3B">
        <w:rPr>
          <w:bCs/>
          <w:szCs w:val="28"/>
        </w:rPr>
        <w:t xml:space="preserve"> государственный кадастровый учет и (или) государственная регистрация прав.</w:t>
      </w:r>
    </w:p>
    <w:p w:rsidR="00D81AB3" w:rsidRPr="00774D3B" w:rsidRDefault="00D81AB3" w:rsidP="00D81AB3">
      <w:pPr>
        <w:spacing w:line="276" w:lineRule="auto"/>
        <w:jc w:val="both"/>
        <w:rPr>
          <w:bCs/>
          <w:i/>
          <w:i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>«</w:t>
      </w:r>
      <w:r w:rsidRPr="00774D3B">
        <w:rPr>
          <w:bCs/>
          <w:i/>
          <w:iCs/>
          <w:szCs w:val="28"/>
        </w:rPr>
        <w:t xml:space="preserve">На территории региона находится около 700 гаражных кооперативов, поэтому достигнутый результат - это лишь первые шаги по реализации закона о «гаражной амнистии». Он стал возможным благодаря тесному взаимодействию с муниципалитетами, кадастровыми инженерами, а также информированию граждан посредством СМИ, организации «горячих линий» и личных приемов. 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774D3B">
        <w:rPr>
          <w:bCs/>
          <w:i/>
          <w:iCs/>
          <w:szCs w:val="28"/>
        </w:rPr>
        <w:t>В конце 2021 года нами были проведены кадастровые работы в отношении 146 земельных участков и соответственно гаражей, в отношении одного гаражного кооператива. Все работы осуществлялись по сниженной стоимости из-за большого количества собственников, заинтересованных в упрощенном порядке оформлении недвижимости. Пошагово отработав данную практику, мы с уверенностью ждем дальнейших результатов, поскольку в 2022 году проведение комплексных работ запланировано уже на территории всей области</w:t>
      </w:r>
      <w:r w:rsidRPr="00774D3B">
        <w:rPr>
          <w:bCs/>
          <w:szCs w:val="28"/>
        </w:rPr>
        <w:t>», - отметил </w:t>
      </w:r>
      <w:r w:rsidRPr="00774D3B">
        <w:rPr>
          <w:b/>
          <w:bCs/>
          <w:szCs w:val="28"/>
        </w:rPr>
        <w:t>Николай Фролов</w:t>
      </w:r>
      <w:r w:rsidRPr="00774D3B">
        <w:rPr>
          <w:bCs/>
          <w:szCs w:val="28"/>
        </w:rPr>
        <w:t>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74D3B">
        <w:rPr>
          <w:bCs/>
          <w:szCs w:val="28"/>
        </w:rPr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774D3B">
        <w:rPr>
          <w:bCs/>
          <w:szCs w:val="28"/>
        </w:rPr>
        <w:t>Росреестром</w:t>
      </w:r>
      <w:proofErr w:type="spellEnd"/>
      <w:r w:rsidRPr="00774D3B">
        <w:rPr>
          <w:bCs/>
          <w:szCs w:val="28"/>
        </w:rPr>
        <w:t xml:space="preserve"> методическим рекомендациям. Материалы в простой и доступной форме помогают гражданам разобраться с процедурой оформления гаражей в упрощенном порядке.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774D3B">
        <w:rPr>
          <w:bCs/>
          <w:i/>
          <w:iCs/>
          <w:szCs w:val="28"/>
        </w:rPr>
        <w:t>*Федеральный закон от 05.04.2021 N 79-ФЗ «О внесении изменений в отдельные законодательные акты Российской Федерации»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proofErr w:type="gramStart"/>
      <w:r w:rsidRPr="00774D3B">
        <w:rPr>
          <w:bCs/>
          <w:i/>
          <w:iCs/>
          <w:szCs w:val="28"/>
        </w:rPr>
        <w:t xml:space="preserve"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</w:t>
      </w:r>
      <w:r w:rsidRPr="00774D3B">
        <w:rPr>
          <w:bCs/>
          <w:i/>
          <w:iCs/>
          <w:szCs w:val="28"/>
        </w:rPr>
        <w:lastRenderedPageBreak/>
        <w:t>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</w:t>
      </w:r>
      <w:proofErr w:type="gramEnd"/>
      <w:r w:rsidRPr="00774D3B">
        <w:rPr>
          <w:bCs/>
          <w:i/>
          <w:iCs/>
          <w:szCs w:val="28"/>
        </w:rPr>
        <w:t xml:space="preserve"> (в том </w:t>
      </w:r>
      <w:proofErr w:type="gramStart"/>
      <w:r w:rsidRPr="00774D3B">
        <w:rPr>
          <w:bCs/>
          <w:i/>
          <w:iCs/>
          <w:szCs w:val="28"/>
        </w:rPr>
        <w:t>числе</w:t>
      </w:r>
      <w:proofErr w:type="gramEnd"/>
      <w:r w:rsidRPr="00774D3B">
        <w:rPr>
          <w:bCs/>
          <w:i/>
          <w:iCs/>
          <w:szCs w:val="28"/>
        </w:rPr>
        <w:t xml:space="preserve">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774D3B">
        <w:rPr>
          <w:bCs/>
          <w:i/>
          <w:iCs/>
          <w:szCs w:val="28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r w:rsidRPr="00774D3B">
        <w:rPr>
          <w:bCs/>
          <w:i/>
          <w:iCs/>
          <w:szCs w:val="28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D81AB3" w:rsidRPr="00774D3B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i/>
          <w:iCs/>
          <w:szCs w:val="28"/>
        </w:rPr>
        <w:tab/>
      </w:r>
      <w:proofErr w:type="gramStart"/>
      <w:r w:rsidRPr="00774D3B">
        <w:rPr>
          <w:bCs/>
          <w:i/>
          <w:iCs/>
          <w:szCs w:val="28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 w:rsidRPr="00774D3B">
        <w:rPr>
          <w:bCs/>
          <w:i/>
          <w:iCs/>
          <w:szCs w:val="28"/>
        </w:rPr>
        <w:br/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 w:rsidRPr="00774D3B">
        <w:rPr>
          <w:bCs/>
          <w:i/>
          <w:iCs/>
          <w:szCs w:val="28"/>
        </w:rPr>
        <w:t xml:space="preserve"> без предоставления земельных участков и установления сервитута, публичного сервитута.</w:t>
      </w:r>
    </w:p>
    <w:p w:rsidR="00D81AB3" w:rsidRPr="00BB3815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D81AB3" w:rsidRPr="00D81AB3" w:rsidRDefault="00D81AB3" w:rsidP="00D81AB3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D81AB3">
        <w:rPr>
          <w:b/>
          <w:bCs/>
          <w:szCs w:val="28"/>
        </w:rPr>
        <w:t xml:space="preserve">Индикативные показатели, применяемые </w:t>
      </w:r>
      <w:proofErr w:type="spellStart"/>
      <w:r w:rsidRPr="00D81AB3">
        <w:rPr>
          <w:b/>
          <w:bCs/>
          <w:szCs w:val="28"/>
        </w:rPr>
        <w:t>Росреестром</w:t>
      </w:r>
      <w:proofErr w:type="spellEnd"/>
      <w:r w:rsidRPr="00D81AB3">
        <w:rPr>
          <w:b/>
          <w:bCs/>
          <w:szCs w:val="28"/>
        </w:rPr>
        <w:t xml:space="preserve"> при осуществлении федерального государственного земельного контроля (надзора)</w:t>
      </w:r>
    </w:p>
    <w:p w:rsidR="00D81AB3" w:rsidRPr="00246CF6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D81AB3" w:rsidRPr="00246CF6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46CF6">
        <w:rPr>
          <w:bCs/>
          <w:szCs w:val="28"/>
        </w:rPr>
        <w:t xml:space="preserve">Приказом Росреестра от 17.11.2021 № </w:t>
      </w:r>
      <w:proofErr w:type="gramStart"/>
      <w:r w:rsidRPr="00246CF6">
        <w:rPr>
          <w:bCs/>
          <w:szCs w:val="28"/>
        </w:rPr>
        <w:t>П</w:t>
      </w:r>
      <w:proofErr w:type="gramEnd"/>
      <w:r w:rsidRPr="00246CF6">
        <w:rPr>
          <w:bCs/>
          <w:szCs w:val="28"/>
        </w:rPr>
        <w:t xml:space="preserve">/0521 "Об утверждении индикативных показателей, применяемых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(надзора)" с 1 марта 2022 года устанавливаются индикативные показатели, применяемые </w:t>
      </w:r>
      <w:proofErr w:type="spellStart"/>
      <w:r w:rsidRPr="00246CF6">
        <w:rPr>
          <w:bCs/>
          <w:szCs w:val="28"/>
        </w:rPr>
        <w:t>Росреестром</w:t>
      </w:r>
      <w:proofErr w:type="spellEnd"/>
      <w:r w:rsidRPr="00246CF6">
        <w:rPr>
          <w:bCs/>
          <w:szCs w:val="28"/>
        </w:rPr>
        <w:t xml:space="preserve"> при осуществлении федерального государственного земельного контроля (надзора).</w:t>
      </w:r>
    </w:p>
    <w:p w:rsidR="00D81AB3" w:rsidRPr="00246CF6" w:rsidRDefault="00D81AB3" w:rsidP="00D81A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46CF6">
        <w:rPr>
          <w:bCs/>
          <w:szCs w:val="28"/>
        </w:rPr>
        <w:t>В перечне таких показателей, проведенных за отчетный период:</w:t>
      </w:r>
    </w:p>
    <w:p w:rsidR="00D81AB3" w:rsidRPr="00246CF6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lastRenderedPageBreak/>
        <w:t>- количество плановых и внеплановых контрольных (надзорных) мероприятий;</w:t>
      </w:r>
    </w:p>
    <w:p w:rsidR="00D81AB3" w:rsidRPr="00246CF6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количество рейдовых осмотров;</w:t>
      </w:r>
    </w:p>
    <w:p w:rsidR="00D81AB3" w:rsidRPr="00246CF6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количество инспекционных визитов, проведенных с использованием средств дистанционного взаимодействия;</w:t>
      </w:r>
    </w:p>
    <w:p w:rsidR="00D81AB3" w:rsidRPr="00246CF6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количество контрольных (надзорных) мероприятий, по результатам которых выявлены нарушения обязательных требований;</w:t>
      </w:r>
    </w:p>
    <w:p w:rsidR="00D81AB3" w:rsidRPr="00246CF6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сумма административных штрафов, наложенных в результате рассмотрения дел об административных правонарушениях.</w:t>
      </w:r>
    </w:p>
    <w:p w:rsidR="00D81AB3" w:rsidRPr="00BB3815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D81AB3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D81AB3" w:rsidRPr="0010295F" w:rsidRDefault="00D81AB3" w:rsidP="00D81AB3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А.Л. Шаипов</w:t>
      </w:r>
      <w:r>
        <w:rPr>
          <w:bCs/>
          <w:szCs w:val="28"/>
        </w:rPr>
        <w:t>,</w:t>
      </w:r>
    </w:p>
    <w:p w:rsidR="00D81AB3" w:rsidRPr="009557A1" w:rsidRDefault="00D81AB3" w:rsidP="00D81AB3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>
        <w:rPr>
          <w:bCs/>
          <w:szCs w:val="28"/>
        </w:rPr>
        <w:t>з</w:t>
      </w:r>
      <w:r w:rsidRPr="009557A1">
        <w:rPr>
          <w:bCs/>
          <w:szCs w:val="28"/>
        </w:rPr>
        <w:t xml:space="preserve">аместитель руководителя Управления </w:t>
      </w:r>
    </w:p>
    <w:p w:rsidR="00D81AB3" w:rsidRPr="009557A1" w:rsidRDefault="00D81AB3" w:rsidP="00D81AB3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Росреестра по Чеченской Республике</w:t>
      </w:r>
    </w:p>
    <w:p w:rsidR="00D81AB3" w:rsidRPr="0010295F" w:rsidRDefault="00D81AB3" w:rsidP="00D81AB3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D81AB3" w:rsidRDefault="00D81AB3"/>
    <w:sectPr w:rsidR="00D81AB3" w:rsidSect="0074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B3"/>
    <w:rsid w:val="00743EF9"/>
    <w:rsid w:val="00D51804"/>
    <w:rsid w:val="00D65744"/>
    <w:rsid w:val="00D8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1280004?index=0&amp;rangeSize=1" TargetMode="External"/><Relationship Id="rId5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4" Type="http://schemas.openxmlformats.org/officeDocument/2006/relationships/hyperlink" Target="https://rosreestr.gov.ru/press/archive/rosreestr-vvedeny-v-ekspluatatsiyu-informatsionnye-sistemy-neobkhodimye-dlya-sozdaniya-natsionalno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2022-02-14T08:01:00Z</dcterms:created>
  <dcterms:modified xsi:type="dcterms:W3CDTF">2022-02-14T08:08:00Z</dcterms:modified>
</cp:coreProperties>
</file>